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b/>
                <w:bCs/>
                <w:sz w:val="26"/>
                <w:szCs w:val="26"/>
              </w:rPr>
              <w:t>35431-03-21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אחמד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2022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השופטת מרב גרינברג</w:t>
            </w:r>
            <w:r>
              <w:rPr>
                <w:rStyle w:val="TimesNewRomanTimesNewRoman"/>
                <w:bCs/>
                <w:szCs w:val="26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אשרף אחמד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אוסמה עיסא</w:t>
            </w:r>
            <w:r>
              <w:rPr>
                <w:rFonts w:ascii="Times New Roman" w:hAnsi="Times New Roman" w:cs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–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טל  שילוני </w:t>
      </w:r>
    </w:p>
    <w:p>
      <w:pPr>
        <w:pStyle w:val="12"/>
        <w:ind w:end="0"/>
        <w:jc w:val="start"/>
        <w:rPr>
          <w:sz w:val="4"/>
          <w:szCs w:val="4"/>
          <w:u w:val="none"/>
        </w:rPr>
      </w:pPr>
      <w:r>
        <w:rPr>
          <w:rFonts w:eastAsia="Times New Roman"/>
          <w:b w:val="false"/>
          <w:bCs w:val="false"/>
          <w:sz w:val="4"/>
          <w:szCs w:val="4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עומרי עיסא</w:t>
      </w:r>
      <w:r>
        <w:rPr>
          <w:b w:val="false"/>
          <w:bCs w:val="false"/>
          <w:u w:val="none"/>
          <w:rtl w:val="true"/>
        </w:rPr>
        <w:br/>
      </w: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הובא על ידי 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ס  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center"/>
        <w:rPr>
          <w:sz w:val="6"/>
          <w:szCs w:val="6"/>
          <w:u w:val="none"/>
        </w:rPr>
      </w:pPr>
      <w:r>
        <w:rPr>
          <w:sz w:val="6"/>
          <w:szCs w:val="6"/>
          <w:u w:val="none"/>
          <w:rtl w:val="true"/>
        </w:rPr>
        <w:t>&lt;</w:t>
      </w:r>
      <w:r>
        <w:rPr>
          <w:sz w:val="6"/>
          <w:szCs w:val="6"/>
          <w:u w:val="none"/>
        </w:rPr>
        <w:t>#3#</w:t>
      </w:r>
      <w:r>
        <w:rPr>
          <w:sz w:val="6"/>
          <w:szCs w:val="6"/>
          <w:u w:val="none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  <w:rtl w:val="true"/>
        </w:rPr>
      </w:r>
      <w:bookmarkStart w:id="4" w:name="Links_Kitvei_Start"/>
      <w:bookmarkStart w:id="5" w:name="Links_Kitvei_Start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6" w:name="Links_Kitvei_Start"/>
      <w:bookmarkEnd w:id="6"/>
      <w:r>
        <w:rPr>
          <w:rFonts w:ascii="FrankRuehl" w:hAnsi="FrankRuehl" w:cs="FrankRuehl"/>
          <w:rtl w:val="true"/>
        </w:rPr>
        <w:t>כתבי עת</w:t>
      </w:r>
      <w:hyperlink r:id="rId2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u w:val="none"/>
            <w:rtl w:val="true"/>
          </w:rPr>
          <w:t>מרדכי בן דרור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בית המשפט העליון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מבנה חדש והערכות חדשה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המשפט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15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7" w:name="LawTable"/>
      <w:bookmarkStart w:id="8" w:name="Links_Kitvei_End"/>
      <w:bookmarkStart w:id="9" w:name="LawTable"/>
      <w:bookmarkStart w:id="10" w:name="Links_Kitvei_End"/>
      <w:bookmarkEnd w:id="9"/>
      <w:bookmarkEnd w:id="10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Times New Roman" w:cs="Arial"/>
          <w:b/>
          <w:bCs/>
          <w:sz w:val="28"/>
          <w:szCs w:val="28"/>
          <w:u w:val="single"/>
        </w:rPr>
      </w:pPr>
      <w:bookmarkStart w:id="13" w:name="PsakDin"/>
      <w:bookmarkEnd w:id="13"/>
      <w:r>
        <w:rPr>
          <w:rFonts w:ascii="Arial" w:hAnsi="Arial" w:eastAsia="Times New Roman" w:cs="Arial"/>
          <w:b/>
          <w:b/>
          <w:bCs/>
          <w:sz w:val="28"/>
          <w:sz w:val="28"/>
          <w:szCs w:val="28"/>
          <w:u w:val="single"/>
          <w:rtl w:val="true"/>
        </w:rPr>
        <w:t xml:space="preserve">גזר דין בעניינו של נאשם </w:t>
      </w:r>
      <w:r>
        <w:rPr>
          <w:rFonts w:eastAsia="Times New Roman" w:cs="Arial" w:ascii="Arial" w:hAnsi="Arial"/>
          <w:b/>
          <w:bCs/>
          <w:sz w:val="28"/>
          <w:szCs w:val="28"/>
          <w:u w:val="single"/>
        </w:rPr>
        <w:t>1</w:t>
      </w:r>
    </w:p>
    <w:p>
      <w:pPr>
        <w:pStyle w:val="David"/>
        <w:ind w:end="0"/>
        <w:jc w:val="both"/>
        <w:rPr>
          <w:rFonts w:ascii="Arial" w:hAnsi="Arial" w:eastAsia="Times New Roman" w:cs="Arial"/>
          <w:b/>
          <w:bCs/>
          <w:sz w:val="28"/>
          <w:szCs w:val="28"/>
          <w:u w:val="single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rFonts w:eastAsia="David"/>
          <w:rtl w:val="true"/>
        </w:rPr>
        <w:t xml:space="preserve"> </w:t>
      </w:r>
      <w:bookmarkStart w:id="16" w:name="ABSTRACT_START"/>
      <w:bookmarkEnd w:id="16"/>
      <w:r>
        <w:rPr>
          <w:rtl w:val="true"/>
        </w:rPr>
        <w:t xml:space="preserve">הנאשם </w:t>
      </w:r>
      <w:r>
        <w:rPr>
          <w:rtl w:val="true"/>
        </w:rPr>
        <w:t>(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בכתב האישום</w:t>
      </w:r>
      <w:r>
        <w:rPr>
          <w:rtl w:val="true"/>
        </w:rPr>
        <w:t xml:space="preserve">) </w:t>
      </w:r>
      <w:r>
        <w:rPr>
          <w:rtl w:val="true"/>
        </w:rPr>
        <w:t>הורשע 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בעובדות כתב אישום מתוקן </w:t>
      </w:r>
      <w:r>
        <w:rPr>
          <w:b/>
          <w:b/>
          <w:bCs/>
          <w:rtl w:val="true"/>
        </w:rPr>
        <w:t>בעבירת נשיאת 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אביזר ותחמושת בלא רשות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לפי </w:t>
      </w:r>
      <w:hyperlink r:id="rId10">
        <w:r>
          <w:rPr>
            <w:rStyle w:val="Hyperlink"/>
            <w:b/>
            <w:b/>
            <w:bCs/>
            <w:rtl w:val="true"/>
          </w:rPr>
          <w:t xml:space="preserve">סעיף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 וסיפא ל</w:t>
      </w:r>
      <w:hyperlink r:id="rId11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") </w:t>
      </w:r>
      <w:r>
        <w:rPr>
          <w:b/>
          <w:b/>
          <w:bCs/>
          <w:rtl w:val="true"/>
        </w:rPr>
        <w:t>ובעבירת ירי מנשק חם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לפי </w:t>
      </w:r>
      <w:hyperlink r:id="rId12">
        <w:r>
          <w:rPr>
            <w:rStyle w:val="Hyperlink"/>
            <w:b/>
            <w:b/>
            <w:bCs/>
            <w:rtl w:val="true"/>
          </w:rPr>
          <w:t xml:space="preserve">סעיף </w:t>
        </w:r>
        <w:r>
          <w:rPr>
            <w:rStyle w:val="Hyperlink"/>
            <w:b/>
            <w:bCs/>
          </w:rPr>
          <w:t>340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7" w:name="ABSTRACT_END"/>
      <w:bookmarkStart w:id="18" w:name="ABSTRACT_END"/>
      <w:bookmarkEnd w:id="18"/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כמפורט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8.2.21</w:t>
      </w:r>
      <w:r>
        <w:rPr>
          <w:rtl w:val="true"/>
        </w:rPr>
        <w:t xml:space="preserve"> </w:t>
      </w:r>
      <w:r>
        <w:rPr>
          <w:rtl w:val="true"/>
        </w:rPr>
        <w:t>או בסמוך לו</w:t>
      </w:r>
      <w:r>
        <w:rPr>
          <w:rtl w:val="true"/>
        </w:rPr>
        <w:t xml:space="preserve">, </w:t>
      </w:r>
      <w:r>
        <w:rPr>
          <w:rtl w:val="true"/>
        </w:rPr>
        <w:t xml:space="preserve">הגיע לחזקת שני הנאשמים תת מקלע מאולתר מסוג </w:t>
      </w:r>
      <w:r>
        <w:rPr>
          <w:rtl w:val="true"/>
        </w:rPr>
        <w:t>"</w:t>
      </w:r>
      <w:r>
        <w:rPr>
          <w:rtl w:val="true"/>
        </w:rPr>
        <w:t>קרל גוסטב</w:t>
      </w:r>
      <w:r>
        <w:rPr>
          <w:rtl w:val="true"/>
        </w:rPr>
        <w:t xml:space="preserve">" </w:t>
      </w:r>
      <w:r>
        <w:rPr>
          <w:rtl w:val="true"/>
        </w:rPr>
        <w:t xml:space="preserve">בקליבר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ביום זה</w:t>
      </w:r>
      <w:r>
        <w:rPr>
          <w:rtl w:val="true"/>
        </w:rPr>
        <w:t xml:space="preserve">, </w:t>
      </w:r>
      <w:r>
        <w:rPr>
          <w:rtl w:val="true"/>
        </w:rPr>
        <w:t xml:space="preserve">עובר לשעה </w:t>
      </w:r>
      <w:r>
        <w:rPr/>
        <w:t>10:41</w:t>
      </w:r>
      <w:r>
        <w:rPr>
          <w:rtl w:val="true"/>
        </w:rPr>
        <w:t xml:space="preserve">, </w:t>
      </w:r>
      <w:r>
        <w:rPr>
          <w:rtl w:val="true"/>
        </w:rPr>
        <w:t>הגיעו הנאשמים לשטח פתוח ומיוער בין כפר קאסם לכפר ברא</w:t>
      </w:r>
      <w:r>
        <w:rPr>
          <w:rtl w:val="true"/>
        </w:rPr>
        <w:t xml:space="preserve">, </w:t>
      </w:r>
      <w:r>
        <w:rPr>
          <w:rtl w:val="true"/>
        </w:rPr>
        <w:t>בו נמצאות חוות לגידול חיות שונות</w:t>
      </w:r>
      <w:r>
        <w:rPr>
          <w:rtl w:val="true"/>
        </w:rPr>
        <w:t xml:space="preserve">, </w:t>
      </w:r>
      <w:r>
        <w:rPr>
          <w:rtl w:val="true"/>
        </w:rPr>
        <w:t>ושוהים בו מדי פעם אנשים</w:t>
      </w:r>
      <w:r>
        <w:rPr>
          <w:rtl w:val="true"/>
        </w:rPr>
        <w:t xml:space="preserve">. </w:t>
      </w:r>
      <w:r>
        <w:rPr>
          <w:rtl w:val="true"/>
        </w:rPr>
        <w:t>בהגיעם לשטח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10:41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ירה מי מהנאשמים מספר צרורות ירי</w:t>
      </w:r>
      <w:r>
        <w:rPr>
          <w:rtl w:val="true"/>
        </w:rPr>
        <w:t xml:space="preserve">, </w:t>
      </w:r>
      <w:r>
        <w:rPr>
          <w:rtl w:val="true"/>
        </w:rPr>
        <w:t>בהסכמת האחר ובידיעתו</w:t>
      </w:r>
      <w:r>
        <w:rPr>
          <w:rtl w:val="true"/>
        </w:rPr>
        <w:t xml:space="preserve">. 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ביום </w:t>
      </w:r>
      <w:r>
        <w:rPr/>
        <w:t>12.9.21</w:t>
      </w:r>
      <w:r>
        <w:rPr>
          <w:rtl w:val="true"/>
        </w:rPr>
        <w:t xml:space="preserve"> </w:t>
      </w:r>
      <w:r>
        <w:rPr>
          <w:rtl w:val="true"/>
        </w:rPr>
        <w:t>הציגו הצדדים הסדר טיעון דיוני</w:t>
      </w:r>
      <w:r>
        <w:rPr>
          <w:rtl w:val="true"/>
        </w:rPr>
        <w:t xml:space="preserve">, </w:t>
      </w:r>
      <w:r>
        <w:rPr>
          <w:rtl w:val="true"/>
        </w:rPr>
        <w:t>במסגרתו הודו והורשעו הנאשמים בעובדות כתב אישום מתוקן ללא הסכמה עונשית</w:t>
      </w:r>
      <w:r>
        <w:rPr>
          <w:rtl w:val="true"/>
        </w:rPr>
        <w:t xml:space="preserve">, </w:t>
      </w:r>
      <w:r>
        <w:rPr>
          <w:rtl w:val="true"/>
        </w:rPr>
        <w:t>והופנו לתסקיר שירות המבחן</w:t>
      </w:r>
      <w:r>
        <w:rPr>
          <w:rtl w:val="true"/>
        </w:rPr>
        <w:t xml:space="preserve">. </w:t>
      </w:r>
      <w:r>
        <w:rPr>
          <w:rtl w:val="true"/>
        </w:rPr>
        <w:t xml:space="preserve">עניינו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 הסתיים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 שירות המבחן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 xml:space="preserve">אובחן בילדותו כסובל מהפרעות קשב וריכוז והשלים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 לימוד בכיתות לחינוך מיוחד</w:t>
      </w:r>
      <w:r>
        <w:rPr>
          <w:rtl w:val="true"/>
        </w:rPr>
        <w:t xml:space="preserve">. </w:t>
      </w:r>
      <w:r>
        <w:rPr>
          <w:rtl w:val="true"/>
        </w:rPr>
        <w:t xml:space="preserve">עם נשירתו ממסגרת הלימודים בגיל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החל לעבוד בעבודות מזדמנות</w:t>
      </w:r>
      <w:r>
        <w:rPr>
          <w:rtl w:val="true"/>
        </w:rPr>
        <w:t xml:space="preserve">. </w:t>
      </w:r>
      <w:r>
        <w:rPr>
          <w:rtl w:val="true"/>
        </w:rPr>
        <w:t>הנאשם הביע חרטה על התנהגותו אך צמצם מאחריותו</w:t>
      </w:r>
      <w:r>
        <w:rPr>
          <w:rtl w:val="true"/>
        </w:rPr>
        <w:t xml:space="preserve">, </w:t>
      </w:r>
      <w:r>
        <w:rPr>
          <w:rtl w:val="true"/>
        </w:rPr>
        <w:t>נוטה לתפוס עצמו כמי שהיה פאסיבי</w:t>
      </w:r>
      <w:r>
        <w:rPr>
          <w:rtl w:val="true"/>
        </w:rPr>
        <w:t xml:space="preserve">, </w:t>
      </w:r>
      <w:r>
        <w:rPr>
          <w:rtl w:val="true"/>
        </w:rPr>
        <w:t>תיאר מעורבותו באופן מינורי וגלגל את האחריות לעבר חברו</w:t>
      </w:r>
      <w:r>
        <w:rPr>
          <w:rtl w:val="true"/>
        </w:rPr>
        <w:t xml:space="preserve">. </w:t>
      </w:r>
      <w:r>
        <w:rPr>
          <w:rtl w:val="true"/>
        </w:rPr>
        <w:t>עוד עלה הרושם כי צמצם מחומרת מעשיו</w:t>
      </w:r>
      <w:r>
        <w:rPr>
          <w:rtl w:val="true"/>
        </w:rPr>
        <w:t xml:space="preserve">, </w:t>
      </w:r>
      <w:r>
        <w:rPr>
          <w:rtl w:val="true"/>
        </w:rPr>
        <w:t>טיב קשריו השוליים וזמינותו לנשק</w:t>
      </w:r>
      <w:r>
        <w:rPr>
          <w:rtl w:val="true"/>
        </w:rPr>
        <w:t xml:space="preserve">. </w:t>
      </w:r>
      <w:r>
        <w:rPr>
          <w:rtl w:val="true"/>
        </w:rPr>
        <w:t>הנאשם ששלל צורך או נכונות לקשר טיפולי</w:t>
      </w:r>
      <w:r>
        <w:rPr>
          <w:rtl w:val="true"/>
        </w:rPr>
        <w:t xml:space="preserve">,  </w:t>
      </w:r>
      <w:r>
        <w:rPr>
          <w:rtl w:val="true"/>
        </w:rPr>
        <w:t>הועבר למעצר בתנאי איזוק אך בהמשך ביקש לחזור למעצר ממש</w:t>
      </w:r>
      <w:r>
        <w:rPr>
          <w:rtl w:val="true"/>
        </w:rPr>
        <w:t xml:space="preserve">, </w:t>
      </w:r>
      <w:r>
        <w:rPr>
          <w:rtl w:val="true"/>
        </w:rPr>
        <w:t>לרצות את עונשו ולסיים את ההליך הפלילי</w:t>
      </w:r>
      <w:r>
        <w:rPr>
          <w:rtl w:val="true"/>
        </w:rPr>
        <w:t xml:space="preserve">. </w:t>
      </w:r>
      <w:r>
        <w:rPr>
          <w:rtl w:val="true"/>
        </w:rPr>
        <w:t>שירות המבחן העריך כי תפקודו בשנים האחרונות אינו יציב והוא קשר קשרים עם עוברי חוק בסביבתו</w:t>
      </w:r>
      <w:r>
        <w:rPr>
          <w:rtl w:val="true"/>
        </w:rPr>
        <w:t xml:space="preserve">. </w:t>
      </w:r>
      <w:r>
        <w:rPr>
          <w:rtl w:val="true"/>
        </w:rPr>
        <w:t>להערכתם</w:t>
      </w:r>
      <w:r>
        <w:rPr>
          <w:rtl w:val="true"/>
        </w:rPr>
        <w:t xml:space="preserve">, </w:t>
      </w:r>
      <w:r>
        <w:rPr>
          <w:rtl w:val="true"/>
        </w:rPr>
        <w:t>הוא מתקשה להציב לעצמו גבולות ולהתבונן במוקדי הסיכון העולים מהתנהלותו</w:t>
      </w:r>
      <w:r>
        <w:rPr>
          <w:rtl w:val="true"/>
        </w:rPr>
        <w:t xml:space="preserve">, </w:t>
      </w:r>
      <w:r>
        <w:rPr>
          <w:rtl w:val="true"/>
        </w:rPr>
        <w:t>בעיקר בכל הקשור להתנהגות שנתפסה על ידו כמרגשת ומחזקת דימוי עצמי וגברי</w:t>
      </w:r>
      <w:r>
        <w:rPr>
          <w:rtl w:val="true"/>
        </w:rPr>
        <w:t xml:space="preserve">. </w:t>
      </w:r>
      <w:r>
        <w:rPr>
          <w:rtl w:val="true"/>
        </w:rPr>
        <w:t>ההערכה היא כי אינו מאופיין בדפוסי עברייניים מושרשים אך מצוי בסיכון להישנות מעורבות עם החוק ואינו מתאים לשילוב להליך טיפולי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 הטיעונים לעונש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שילוני</w:t>
      </w:r>
      <w:r>
        <w:rPr>
          <w:rtl w:val="true"/>
        </w:rPr>
        <w:t xml:space="preserve">, </w:t>
      </w:r>
      <w:r>
        <w:rPr>
          <w:rtl w:val="true"/>
        </w:rPr>
        <w:t>עמדה בטיעוניה על החומרה המיוחדת שבנשיאת נשק מסוג תת מקלע</w:t>
      </w:r>
      <w:r>
        <w:rPr>
          <w:rtl w:val="true"/>
        </w:rPr>
        <w:t xml:space="preserve">, </w:t>
      </w:r>
      <w:r>
        <w:rPr>
          <w:rtl w:val="true"/>
        </w:rPr>
        <w:t>ושימוש בו בדרך ירי מספר צרורות בשטח לא רחוק מאזורי מגורים</w:t>
      </w:r>
      <w:r>
        <w:rPr>
          <w:rtl w:val="true"/>
        </w:rPr>
        <w:t xml:space="preserve">. </w:t>
      </w:r>
      <w:r>
        <w:rPr>
          <w:rtl w:val="true"/>
        </w:rPr>
        <w:t>עוד עמדה על מגמת ההחמרה בענישה בעבירות נשק</w:t>
      </w:r>
      <w:r>
        <w:rPr>
          <w:rtl w:val="true"/>
        </w:rPr>
        <w:t xml:space="preserve">, </w:t>
      </w:r>
      <w:r>
        <w:rPr>
          <w:rtl w:val="true"/>
        </w:rPr>
        <w:t>המשתקפת בפסיקת בית המשפט העליון ותיקון החוק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עתרה למתחם ענישה הנע בין </w:t>
      </w:r>
      <w:r>
        <w:rPr/>
        <w:t>36-66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בהתחשב בהודאת הנאשם</w:t>
      </w:r>
      <w:r>
        <w:rPr>
          <w:rtl w:val="true"/>
        </w:rPr>
        <w:t xml:space="preserve">, </w:t>
      </w:r>
      <w:r>
        <w:rPr>
          <w:rtl w:val="true"/>
        </w:rPr>
        <w:t>ובשים לב לתסקיר המלמד על התייחסות מגמתית ומצמצמת למעשיו</w:t>
      </w:r>
      <w:r>
        <w:rPr>
          <w:rtl w:val="true"/>
        </w:rPr>
        <w:t xml:space="preserve">, </w:t>
      </w:r>
      <w:r>
        <w:rPr>
          <w:rtl w:val="true"/>
        </w:rPr>
        <w:t>עתרה למקמו בחלקו התחתון של המתחם</w:t>
      </w:r>
      <w:r>
        <w:rPr>
          <w:rtl w:val="true"/>
        </w:rPr>
        <w:t xml:space="preserve">, </w:t>
      </w:r>
      <w:r>
        <w:rPr>
          <w:rtl w:val="true"/>
        </w:rPr>
        <w:t>אך לא בתחתיתו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 xml:space="preserve">. </w:t>
      </w:r>
      <w:r>
        <w:rPr>
          <w:rtl w:val="true"/>
        </w:rPr>
        <w:t>עיסא</w:t>
      </w:r>
      <w:r>
        <w:rPr>
          <w:rtl w:val="true"/>
        </w:rPr>
        <w:t xml:space="preserve">, </w:t>
      </w:r>
      <w:r>
        <w:rPr>
          <w:rtl w:val="true"/>
        </w:rPr>
        <w:t>עמד בע</w:t>
      </w:r>
      <w:r>
        <w:rPr>
          <w:rtl w:val="true"/>
        </w:rPr>
        <w:t>"</w:t>
      </w:r>
      <w:r>
        <w:rPr>
          <w:rtl w:val="true"/>
        </w:rPr>
        <w:t>פ ובכתב  על הנסיבות המקלות של העבירה</w:t>
      </w:r>
      <w:r>
        <w:rPr>
          <w:rtl w:val="true"/>
        </w:rPr>
        <w:t xml:space="preserve">, </w:t>
      </w:r>
      <w:r>
        <w:rPr>
          <w:rtl w:val="true"/>
        </w:rPr>
        <w:t>שיש בהן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כדי לאפשר חריגה ממתחם העונש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 xml:space="preserve">נשיאת הנשק והירי בוצעו במקום מבודד ומרוחק גיאוגרפית מאזורים מיושבים </w:t>
      </w:r>
      <w:r>
        <w:rPr>
          <w:rtl w:val="true"/>
        </w:rPr>
        <w:t>(</w:t>
      </w:r>
      <w:r>
        <w:rPr>
          <w:rtl w:val="true"/>
        </w:rPr>
        <w:t>הוצגה מפת האזור</w:t>
      </w:r>
      <w:r>
        <w:rPr>
          <w:rtl w:val="true"/>
        </w:rPr>
        <w:t xml:space="preserve">) </w:t>
      </w:r>
      <w:r>
        <w:rPr>
          <w:rtl w:val="true"/>
        </w:rPr>
        <w:t>המפחית משמעותית את מסוכנותן ורמת הפגיעה בערכים המוגנים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הירי בוצע שלא מתוך כוונת פגיעה אלא על רקע חוסר בשלות ורצון להתרברב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הפנה לנסיבותיו</w:t>
      </w:r>
      <w:r>
        <w:rPr>
          <w:rtl w:val="true"/>
        </w:rPr>
        <w:t xml:space="preserve">-  </w:t>
      </w:r>
      <w:r>
        <w:rPr>
          <w:rtl w:val="true"/>
        </w:rPr>
        <w:t>גילו הצעיר של הנאשם העצור מזה חודשים ארוכים</w:t>
      </w:r>
      <w:r>
        <w:rPr>
          <w:rtl w:val="true"/>
        </w:rPr>
        <w:t xml:space="preserve">, </w:t>
      </w:r>
      <w:r>
        <w:rPr>
          <w:rtl w:val="true"/>
        </w:rPr>
        <w:t>עברו הנקי</w:t>
      </w:r>
      <w:r>
        <w:rPr>
          <w:rtl w:val="true"/>
        </w:rPr>
        <w:t xml:space="preserve">, </w:t>
      </w:r>
      <w:r>
        <w:rPr>
          <w:rtl w:val="true"/>
        </w:rPr>
        <w:t>מצבו הרפואי – הנאשם סובל ממחלת אפילפסיה ואף חווה מספר התקפים בעת מעצרו והקשיים הרבים שחווה במהלך מעצרו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עותר למתחם הראוי שנע בין </w:t>
      </w:r>
      <w:r>
        <w:rPr/>
        <w:t>36-10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ומבקש להסתפק בתקופה החופפת את מעצרו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הצדדים הפנו לאסמכתאות פסיקה שונות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הנאשם בדברו האחרון</w:t>
      </w:r>
      <w:r>
        <w:rPr>
          <w:rtl w:val="true"/>
        </w:rPr>
        <w:t xml:space="preserve"> הביע צער על מעורבותו בעבירה וביטא רצונו לשוב לחיים נורמטיביים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 העונש ההולם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על ההליך שבפני חלים עקרונות הבניית שיקול הדעת השיפוטי בענישה בהתאם להוראות תיקון </w:t>
      </w:r>
      <w:r>
        <w:rPr>
          <w:rFonts w:cs="Times New Roman" w:ascii="Times New Roman" w:hAnsi="Times New Roman"/>
        </w:rPr>
        <w:t>113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לחוק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פ הוראות אלו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העיקרון המנחה בענישה הינו עקרון ההלימה שפירושו קיומו של יחס הולם בין חומרת מעשה העבירה בנסיבותיו ובמידת אשמו של הנאשם ובין סוג ומידת העונש המוטל עליו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בדרכו של עקרון זה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על בית המשפט לקבוע מתחם עונש הולם למעשה העבירה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תוך שהוא מתחשב בערך החברתי המוגן שנפגע ומידת הפגיעה בו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במדיניות הענישה הנהוגה ובנסיבותיה הקונקרטיות של העבירה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בשלב הבא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לאחר שנקבע מתחם העונש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ובית המשפט לא מצא מקום לחרוג ממנו לקולא או לחומרא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נקבע העונש הראוי תוך התחשבות בנסיבות העושה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0"/>
        <w:numPr>
          <w:ilvl w:val="0"/>
          <w:numId w:val="2"/>
        </w:numPr>
        <w:bidi w:val="1"/>
        <w:spacing w:lineRule="atLeast" w:line="360" w:before="0" w:after="0"/>
        <w:ind w:hanging="360" w:start="720" w:end="0"/>
        <w:jc w:val="both"/>
        <w:rPr>
          <w:rFonts w:ascii="David" w:hAnsi="David" w:cs="David"/>
          <w:color w:val="000000"/>
          <w:spacing w:val="10"/>
        </w:rPr>
      </w:pPr>
      <w:r>
        <w:rPr>
          <w:rFonts w:cs="David"/>
          <w:rtl w:val="true"/>
        </w:rPr>
        <w:t>דומה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להכביר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מילים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ביחס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לחומרתן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הפכו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בשנים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מכת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מדינה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הגואה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בעיקר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המגזר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הערבי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ומהוות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סכנה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ממשית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לשלום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ולביטחונו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רקע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מציאות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נעשה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מאמץ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רב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גורמי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אכיפת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וביניהם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למאבק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בתופעה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ובשנים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ניכרת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מגמת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החמרה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במדיניות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מיגור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תוך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מתן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משקל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בכורה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להרתעת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הרבים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ולאינטרס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הציבורי</w:t>
      </w:r>
      <w:r>
        <w:rPr>
          <w:rFonts w:cs="David"/>
          <w:rtl w:val="true"/>
        </w:rPr>
        <w:t xml:space="preserve">, </w:t>
      </w:r>
      <w:r>
        <w:rPr>
          <w:rtl w:val="true"/>
        </w:rPr>
        <w:t>"</w:t>
      </w:r>
      <w:r>
        <w:rPr>
          <w:rFonts w:cs="David"/>
          <w:b/>
          <w:b/>
          <w:bCs/>
          <w:rtl w:val="true"/>
        </w:rPr>
        <w:t>ההלכה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גזירת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עונשו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שהורשע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בעבירות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נשק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על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בית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המשפט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לבכר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האינטרס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הציבורי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שבהרתעת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הרבים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על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פני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נסיבותיו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האישיות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הנידון</w:t>
      </w:r>
      <w:r>
        <w:rPr>
          <w:rFonts w:cs="David"/>
          <w:rtl w:val="true"/>
        </w:rPr>
        <w:t>" (</w:t>
      </w:r>
      <w:hyperlink r:id="rId13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587/22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עדאב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אבו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נאעסה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פסקה</w:t>
      </w:r>
      <w:r>
        <w:rPr>
          <w:rFonts w:eastAsia="Times New Roman"/>
          <w:rtl w:val="true"/>
        </w:rPr>
        <w:t xml:space="preserve"> </w:t>
      </w:r>
      <w:r>
        <w:rPr>
          <w:rFonts w:cs="David"/>
        </w:rPr>
        <w:t>13</w:t>
      </w:r>
      <w:r>
        <w:rPr>
          <w:rFonts w:cs="David"/>
          <w:rtl w:val="true"/>
        </w:rPr>
        <w:t xml:space="preserve"> (</w:t>
      </w:r>
      <w:r>
        <w:rPr>
          <w:rFonts w:cs="David"/>
        </w:rPr>
        <w:t>22.5.2022</w:t>
      </w:r>
      <w:r>
        <w:rPr>
          <w:rFonts w:cs="David"/>
          <w:rtl w:val="true"/>
        </w:rPr>
        <w:t xml:space="preserve">)) </w:t>
      </w:r>
      <w:r>
        <w:rPr>
          <w:rFonts w:cs="David" w:ascii="David" w:hAnsi="David"/>
          <w:rtl w:val="true"/>
        </w:rPr>
        <w:t>(</w:t>
      </w:r>
      <w:hyperlink r:id="rId14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אחמד קדורה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פסקה </w:t>
      </w:r>
      <w:r>
        <w:rPr>
          <w:rFonts w:cs="David" w:ascii="David" w:hAnsi="David"/>
        </w:rPr>
        <w:t>5-6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14.4.2022</w:t>
      </w:r>
      <w:r>
        <w:rPr>
          <w:rFonts w:cs="David" w:ascii="David" w:hAnsi="David"/>
          <w:rtl w:val="true"/>
        </w:rPr>
        <w:t xml:space="preserve">); </w:t>
      </w:r>
      <w:hyperlink r:id="rId15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5813/21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מוחמד 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 w:cs="David"/>
          <w:b/>
          <w:b/>
          <w:bCs/>
          <w:rtl w:val="true"/>
        </w:rPr>
        <w:t>בארין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פסקה </w:t>
      </w:r>
      <w:r>
        <w:rPr>
          <w:rFonts w:cs="David" w:ascii="David" w:hAnsi="David"/>
        </w:rPr>
        <w:t>14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31.5.2022</w:t>
      </w:r>
      <w:r>
        <w:rPr>
          <w:rFonts w:cs="David" w:ascii="David" w:hAnsi="David"/>
          <w:rtl w:val="true"/>
        </w:rPr>
        <w:t xml:space="preserve">); </w:t>
      </w:r>
      <w:hyperlink r:id="rId16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6011/21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חאלד דסוקי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 ישראל</w:t>
      </w:r>
      <w:r>
        <w:rPr>
          <w:rFonts w:ascii="David" w:hAnsi="David" w:cs="David"/>
          <w:rtl w:val="true"/>
        </w:rPr>
        <w:t xml:space="preserve"> 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25.11.2021</w:t>
      </w:r>
      <w:r>
        <w:rPr>
          <w:rFonts w:cs="David" w:ascii="David" w:hAnsi="David"/>
          <w:rtl w:val="true"/>
        </w:rPr>
        <w:t xml:space="preserve">); </w:t>
      </w:r>
      <w:hyperlink r:id="rId17">
        <w:r>
          <w:rPr>
            <w:rStyle w:val="Hyperlink"/>
            <w:rFonts w:ascii="David" w:hAnsi="David" w:cs="David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rFonts w:cs="David" w:ascii="David" w:hAnsi="David"/>
          <w:spacing w:val="10"/>
          <w:sz w:val="20"/>
          <w:shd w:fill="FFFFFF" w:val="clear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10"/>
          <w:sz w:val="20"/>
          <w:sz w:val="20"/>
          <w:shd w:fill="FFFFFF" w:val="clear"/>
          <w:rtl w:val="true"/>
        </w:rPr>
        <w:t>מדינת ישראל נ</w:t>
      </w:r>
      <w:r>
        <w:rPr>
          <w:rFonts w:cs="David" w:ascii="David" w:hAnsi="David"/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10"/>
          <w:sz w:val="20"/>
          <w:sz w:val="20"/>
          <w:shd w:fill="FFFFFF" w:val="clear"/>
          <w:rtl w:val="true"/>
        </w:rPr>
        <w:t>מחמד בסילה</w:t>
      </w:r>
      <w:r>
        <w:rPr>
          <w:rFonts w:cs="David" w:ascii="David" w:hAnsi="David"/>
          <w:spacing w:val="10"/>
          <w:sz w:val="20"/>
          <w:shd w:fill="FFFFFF" w:val="clear"/>
          <w:rtl w:val="true"/>
        </w:rPr>
        <w:t xml:space="preserve">, </w:t>
      </w:r>
      <w:r>
        <w:rPr>
          <w:rFonts w:ascii="David" w:hAnsi="David" w:cs="David"/>
          <w:spacing w:val="10"/>
          <w:sz w:val="20"/>
          <w:sz w:val="20"/>
          <w:shd w:fill="FFFFFF" w:val="clear"/>
          <w:rtl w:val="true"/>
        </w:rPr>
        <w:t xml:space="preserve">פסקה </w:t>
      </w:r>
      <w:r>
        <w:rPr>
          <w:rFonts w:cs="David" w:ascii="David" w:hAnsi="David"/>
          <w:spacing w:val="10"/>
          <w:sz w:val="20"/>
          <w:shd w:fill="FFFFFF" w:val="clear"/>
        </w:rPr>
        <w:t>10</w:t>
      </w:r>
      <w:r>
        <w:rPr>
          <w:rFonts w:cs="David" w:ascii="David" w:hAnsi="David"/>
          <w:spacing w:val="10"/>
          <w:sz w:val="20"/>
          <w:shd w:fill="FFFFFF" w:val="clear"/>
          <w:rtl w:val="true"/>
        </w:rPr>
        <w:t xml:space="preserve"> (</w:t>
      </w:r>
      <w:r>
        <w:rPr>
          <w:rFonts w:cs="David" w:ascii="David" w:hAnsi="David"/>
          <w:spacing w:val="10"/>
          <w:sz w:val="20"/>
          <w:shd w:fill="FFFFFF" w:val="clear"/>
        </w:rPr>
        <w:t>28.12.2021</w:t>
      </w:r>
      <w:r>
        <w:rPr>
          <w:rFonts w:cs="David" w:ascii="David" w:hAnsi="David"/>
          <w:spacing w:val="10"/>
          <w:sz w:val="20"/>
          <w:shd w:fill="FFFFFF" w:val="clear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18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2283/22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אל נבארי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 ישראל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31.7.2022</w:t>
      </w:r>
      <w:r>
        <w:rPr>
          <w:rFonts w:cs="David" w:ascii="David" w:hAnsi="David"/>
          <w:rtl w:val="true"/>
        </w:rPr>
        <w:t xml:space="preserve">); </w:t>
      </w:r>
      <w:hyperlink r:id="rId19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78/21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ישראל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26.7.2022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pacing w:val="10"/>
        </w:rPr>
      </w:pPr>
      <w:r>
        <w:rPr>
          <w:rFonts w:cs="David"/>
          <w:color w:val="000000"/>
          <w:spacing w:val="10"/>
          <w:rtl w:val="true"/>
        </w:rPr>
      </w:r>
    </w:p>
    <w:p>
      <w:pPr>
        <w:pStyle w:val="ListParagraph"/>
        <w:ind w:end="0"/>
        <w:jc w:val="start"/>
        <w:rPr>
          <w:color w:val="000000"/>
          <w:spacing w:val="10"/>
        </w:rPr>
      </w:pPr>
      <w:r>
        <w:rPr>
          <w:color w:val="000000"/>
          <w:spacing w:val="1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 xml:space="preserve">מגמה זו קיבלה לאחרונה ביטוי סטטוטורי במסגרת תיקון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 xml:space="preserve">תיקון </w:t>
      </w:r>
      <w:r>
        <w:rPr/>
        <w:t>140</w:t>
      </w:r>
      <w:r>
        <w:rPr>
          <w:rtl w:val="true"/>
        </w:rPr>
        <w:t>-</w:t>
      </w:r>
      <w:r>
        <w:rPr>
          <w:rtl w:val="true"/>
        </w:rPr>
        <w:t>הוראת שעה</w:t>
      </w:r>
      <w:r>
        <w:rPr>
          <w:rtl w:val="true"/>
        </w:rPr>
        <w:t xml:space="preserve">)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במסגרתו נקבעו עונשי מינימום בעבירות נשק</w:t>
      </w:r>
      <w:r>
        <w:rPr>
          <w:rtl w:val="true"/>
        </w:rPr>
        <w:t xml:space="preserve">, </w:t>
      </w:r>
      <w:r>
        <w:rPr>
          <w:rtl w:val="true"/>
        </w:rPr>
        <w:t>כך שהעונש שיושת בגין עבירות אלו לא יפחת מרבע העונש המרבי שנקבע לעבירה</w:t>
      </w:r>
      <w:r>
        <w:rPr>
          <w:rtl w:val="true"/>
        </w:rPr>
        <w:t xml:space="preserve">, </w:t>
      </w:r>
      <w:r>
        <w:rPr>
          <w:rtl w:val="true"/>
        </w:rPr>
        <w:t>אלא בהתקיים טעמים מיוחדים</w:t>
      </w:r>
      <w:r>
        <w:rPr>
          <w:rtl w:val="true"/>
        </w:rPr>
        <w:t xml:space="preserve">. </w:t>
      </w:r>
      <w:r>
        <w:rPr>
          <w:rtl w:val="true"/>
        </w:rPr>
        <w:t>אומנם הוראותיו של תיקון זה אינם חלים בענייננו אך רוחו שורה והוא משקף את רצון המחוקק בהחמרת הענישה בעבירות ממין דא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b/>
          <w:b/>
          <w:bCs/>
          <w:rtl w:val="true"/>
        </w:rPr>
        <w:t>נסיבות מעשיו של הנאשם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tl w:val="true"/>
        </w:rPr>
        <w:t xml:space="preserve">- </w:t>
      </w:r>
      <w:r>
        <w:rPr>
          <w:rtl w:val="true"/>
        </w:rPr>
        <w:t>הנאשם נשא</w:t>
      </w:r>
      <w:r>
        <w:rPr>
          <w:rtl w:val="true"/>
        </w:rPr>
        <w:t xml:space="preserve">, </w:t>
      </w:r>
      <w:r>
        <w:rPr>
          <w:rtl w:val="true"/>
        </w:rPr>
        <w:t>בשעת בוקר</w:t>
      </w:r>
      <w:r>
        <w:rPr>
          <w:rtl w:val="true"/>
        </w:rPr>
        <w:t xml:space="preserve">, </w:t>
      </w:r>
      <w:r>
        <w:rPr>
          <w:rtl w:val="true"/>
        </w:rPr>
        <w:t xml:space="preserve">יחד עם 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בשטח פתוח המצוי בתווך בין מקומות יישוב</w:t>
      </w:r>
      <w:r>
        <w:rPr>
          <w:rtl w:val="true"/>
        </w:rPr>
        <w:t xml:space="preserve">, </w:t>
      </w:r>
      <w:r>
        <w:rPr>
          <w:rtl w:val="true"/>
        </w:rPr>
        <w:t>בסמוך לחוות לגידול חיות</w:t>
      </w:r>
      <w:r>
        <w:rPr>
          <w:rtl w:val="true"/>
        </w:rPr>
        <w:t xml:space="preserve">, </w:t>
      </w:r>
      <w:r>
        <w:rPr>
          <w:rtl w:val="true"/>
        </w:rPr>
        <w:t>נשק ארוך</w:t>
      </w:r>
      <w:r>
        <w:rPr>
          <w:rtl w:val="true"/>
        </w:rPr>
        <w:t xml:space="preserve">, </w:t>
      </w:r>
      <w:r>
        <w:rPr>
          <w:rtl w:val="true"/>
        </w:rPr>
        <w:t>תת מקלע מאולתר</w:t>
      </w:r>
      <w:r>
        <w:rPr>
          <w:rtl w:val="true"/>
        </w:rPr>
        <w:t xml:space="preserve">, </w:t>
      </w:r>
      <w:r>
        <w:rPr>
          <w:rtl w:val="true"/>
        </w:rPr>
        <w:t>טעון במחסנית ותחמושת תואמים</w:t>
      </w:r>
      <w:r>
        <w:rPr>
          <w:rtl w:val="true"/>
        </w:rPr>
        <w:t xml:space="preserve">. </w:t>
      </w:r>
      <w:r>
        <w:rPr>
          <w:rtl w:val="true"/>
        </w:rPr>
        <w:t>הנאשמים נשאו את הנשק במטרה לעשות בו שימוש</w:t>
      </w:r>
      <w:r>
        <w:rPr>
          <w:rtl w:val="true"/>
        </w:rPr>
        <w:t xml:space="preserve">, </w:t>
      </w:r>
      <w:r>
        <w:rPr>
          <w:rtl w:val="true"/>
        </w:rPr>
        <w:t>כשמי מהשניים ירה מספר צרורות ירי באופן המסכן את שלום וביטחון הציבור</w:t>
      </w:r>
      <w:r>
        <w:rPr>
          <w:rtl w:val="true"/>
        </w:rPr>
        <w:t xml:space="preserve">. </w:t>
      </w:r>
      <w:r>
        <w:rPr>
          <w:rtl w:val="true"/>
        </w:rPr>
        <w:t>אכן אין מדובר באזור מיושב בצפיפות וניתן לשער לטובת הנאשם</w:t>
      </w:r>
      <w:r>
        <w:rPr>
          <w:rtl w:val="true"/>
        </w:rPr>
        <w:t xml:space="preserve">, </w:t>
      </w:r>
      <w:r>
        <w:rPr>
          <w:rtl w:val="true"/>
        </w:rPr>
        <w:t>כי התרחק ממקום מיושב כדי לצמצם סיכונים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אין מדובר באזור נידח ומבודד</w:t>
      </w:r>
      <w:r>
        <w:rPr>
          <w:rtl w:val="true"/>
        </w:rPr>
        <w:t xml:space="preserve">, </w:t>
      </w:r>
      <w:r>
        <w:rPr>
          <w:rtl w:val="true"/>
        </w:rPr>
        <w:t>בסמוך לו ממוקמות חוות חיות ולעיתים שוהים בו אנשים</w:t>
      </w:r>
      <w:r>
        <w:rPr>
          <w:rtl w:val="true"/>
        </w:rPr>
        <w:t xml:space="preserve">. </w:t>
      </w:r>
      <w:r>
        <w:rPr>
          <w:rtl w:val="true"/>
        </w:rPr>
        <w:t>יתרה מזאת</w:t>
      </w:r>
      <w:r>
        <w:rPr>
          <w:rtl w:val="true"/>
        </w:rPr>
        <w:t xml:space="preserve">, </w:t>
      </w:r>
      <w:r>
        <w:rPr>
          <w:rtl w:val="true"/>
        </w:rPr>
        <w:t>אין במיקום הירי כדי להקטין משמעותית את פוטנציאל הסיכון הנשקף ממנו</w:t>
      </w:r>
      <w:r>
        <w:rPr>
          <w:rtl w:val="true"/>
        </w:rPr>
        <w:t xml:space="preserve">. </w:t>
      </w:r>
      <w:r>
        <w:rPr>
          <w:rtl w:val="true"/>
        </w:rPr>
        <w:t>מטרת הירי אינה ידועה</w:t>
      </w:r>
      <w:r>
        <w:rPr>
          <w:rtl w:val="true"/>
        </w:rPr>
        <w:t xml:space="preserve">, </w:t>
      </w:r>
      <w:r>
        <w:rPr>
          <w:rtl w:val="true"/>
        </w:rPr>
        <w:t>אף בעניין זה אניח לטובת הנאשם</w:t>
      </w:r>
      <w:r>
        <w:rPr>
          <w:rtl w:val="true"/>
        </w:rPr>
        <w:t xml:space="preserve">, </w:t>
      </w:r>
      <w:r>
        <w:rPr>
          <w:rtl w:val="true"/>
        </w:rPr>
        <w:t>חרף סיכון ממשי</w:t>
      </w:r>
      <w:r>
        <w:rPr>
          <w:rtl w:val="true"/>
        </w:rPr>
        <w:t xml:space="preserve">, </w:t>
      </w:r>
      <w:r>
        <w:rPr>
          <w:rtl w:val="true"/>
        </w:rPr>
        <w:t>שלא בוצע בכוונה לפגוע באחר</w:t>
      </w:r>
      <w:r>
        <w:rPr>
          <w:rtl w:val="true"/>
        </w:rPr>
        <w:t xml:space="preserve">. </w:t>
      </w:r>
      <w:r>
        <w:rPr>
          <w:rtl w:val="true"/>
        </w:rPr>
        <w:t>המציאות העגומה שבה אנו חיים מלמדת שירי ניסיון במערכה הראשונה הופך ירי קטלני בהמשך</w:t>
      </w:r>
      <w:r>
        <w:rPr>
          <w:rtl w:val="true"/>
        </w:rPr>
        <w:t xml:space="preserve">. </w:t>
      </w:r>
      <w:r>
        <w:rPr>
          <w:rtl w:val="true"/>
        </w:rPr>
        <w:t xml:space="preserve">הנאשם ניסה </w:t>
      </w:r>
      <w:r>
        <w:rPr>
          <w:rtl w:val="true"/>
        </w:rPr>
        <w:t>(</w:t>
      </w:r>
      <w:r>
        <w:rPr>
          <w:rtl w:val="true"/>
        </w:rPr>
        <w:t>בתסקירו</w:t>
      </w:r>
      <w:r>
        <w:rPr>
          <w:rtl w:val="true"/>
        </w:rPr>
        <w:t xml:space="preserve">) </w:t>
      </w:r>
      <w:r>
        <w:rPr>
          <w:rtl w:val="true"/>
        </w:rPr>
        <w:t>לגלגל את האחריות לירי לפתחו של שותפו אלא שהירי בוצע בצוותא חדא ואין בנסיבות המעשה</w:t>
      </w:r>
      <w:r>
        <w:rPr>
          <w:rtl w:val="true"/>
        </w:rPr>
        <w:t xml:space="preserve">, </w:t>
      </w:r>
      <w:r>
        <w:rPr>
          <w:rtl w:val="true"/>
        </w:rPr>
        <w:t>כפי שפורטו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כדי לצמצם מאחריותו למעשה ולהפחית במידת אשמו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autoSpaceDE w:val="false"/>
        <w:spacing w:lineRule="auto" w:line="360" w:before="0" w:after="120"/>
        <w:ind w:hanging="360" w:start="720" w:end="0"/>
        <w:contextualSpacing/>
        <w:jc w:val="both"/>
        <w:rPr/>
      </w:pP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ירי בנשק חם</w:t>
      </w:r>
      <w:r>
        <w:rPr>
          <w:rtl w:val="true"/>
        </w:rPr>
        <w:t xml:space="preserve">, </w:t>
      </w:r>
      <w:r>
        <w:rPr>
          <w:rtl w:val="true"/>
        </w:rPr>
        <w:t>אף אם מבוצע במקומות שאינם הומי אדם מגביר את הסיכון לשלום הציבור ובטחונו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למרבה הצער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חדשות לבקרים אנו שומעים על פגיעה בעוברי אורח מכדור תועה שנורה בעקבות שימוש פרוע ורשלני בנשקים שהוחזקו שלא כדין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על רקע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 כל מקום להמעיט בחומרת מעשיו של המערער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 סייע לחברו לשאת ולהוביל אקדח ללא רישיון ואף לבצע ירי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3728/22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מסלאחה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11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9.8.22</w:t>
      </w:r>
      <w:r>
        <w:rPr>
          <w:rtl w:val="true"/>
        </w:rPr>
        <w:t xml:space="preserve">)).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autoSpaceDE w:val="false"/>
        <w:spacing w:lineRule="auto" w:line="360" w:before="0" w:after="120"/>
        <w:ind w:end="0"/>
        <w:contextualSpacing/>
        <w:jc w:val="both"/>
        <w:rPr/>
      </w:pPr>
      <w:r>
        <w:rPr>
          <w:rtl w:val="true"/>
        </w:rPr>
        <w:t>אף המחוקק אמר את דברו בעניין זה</w:t>
      </w:r>
      <w:r>
        <w:rPr>
          <w:rtl w:val="true"/>
        </w:rPr>
        <w:t xml:space="preserve">, </w:t>
      </w:r>
      <w:r>
        <w:rPr>
          <w:rtl w:val="true"/>
        </w:rPr>
        <w:t xml:space="preserve">באמצעות תיקונו של </w:t>
      </w:r>
      <w:hyperlink r:id="rId21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>ובין היתר</w:t>
      </w:r>
      <w:r>
        <w:rPr>
          <w:rtl w:val="true"/>
        </w:rPr>
        <w:t xml:space="preserve">, </w:t>
      </w:r>
      <w:r>
        <w:rPr>
          <w:rtl w:val="true"/>
        </w:rPr>
        <w:t>הורחבו גדרי העבירה כך שתחול על כל מעשה ירי ללא הסבר</w:t>
      </w:r>
      <w:r>
        <w:rPr>
          <w:rtl w:val="true"/>
        </w:rPr>
        <w:t xml:space="preserve">, </w:t>
      </w:r>
      <w:r>
        <w:rPr>
          <w:rtl w:val="true"/>
        </w:rPr>
        <w:t>אף אם לא בוצע באזור מגורים</w:t>
      </w:r>
      <w:r>
        <w:rPr>
          <w:rtl w:val="true"/>
        </w:rPr>
        <w:t xml:space="preserve">, </w:t>
      </w:r>
      <w:r>
        <w:rPr>
          <w:rtl w:val="true"/>
        </w:rPr>
        <w:t>העונש הקבוע בצד העבירה שעמד עובר לתיקון על שנת מאסר אחת</w:t>
      </w:r>
      <w:r>
        <w:rPr>
          <w:rtl w:val="true"/>
        </w:rPr>
        <w:t xml:space="preserve">, </w:t>
      </w:r>
      <w:r>
        <w:rPr>
          <w:rtl w:val="true"/>
        </w:rPr>
        <w:t>הוחמר לשנתיים</w:t>
      </w:r>
      <w:r>
        <w:rPr>
          <w:rtl w:val="true"/>
        </w:rPr>
        <w:t xml:space="preserve">. </w:t>
      </w:r>
      <w:r>
        <w:rPr>
          <w:rtl w:val="true"/>
        </w:rPr>
        <w:t>מדברי ההסבר לחוק</w:t>
      </w:r>
      <w:r>
        <w:rPr>
          <w:rtl w:val="true"/>
        </w:rPr>
        <w:t xml:space="preserve">, </w:t>
      </w:r>
      <w:r>
        <w:rPr>
          <w:rtl w:val="true"/>
        </w:rPr>
        <w:t>ניתן ללמוד שהמחוקק מייחס חומרה יתרה לעצם השימוש שלא כדין בנשק</w:t>
      </w:r>
      <w:r>
        <w:rPr>
          <w:rtl w:val="true"/>
        </w:rPr>
        <w:t xml:space="preserve">, </w:t>
      </w:r>
      <w:r>
        <w:rPr>
          <w:rtl w:val="true"/>
        </w:rPr>
        <w:t>יהיו נסיבות ביצועו ומיקומו אשר יהיו</w:t>
      </w:r>
      <w:r>
        <w:rPr>
          <w:rtl w:val="true"/>
        </w:rPr>
        <w:t>: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autoSpaceDE w:val="false"/>
        <w:spacing w:lineRule="auto" w:line="360" w:before="0" w:after="120"/>
        <w:ind w:start="1440" w:end="993"/>
        <w:contextualSpacing/>
        <w:jc w:val="both"/>
        <w:rPr/>
      </w:pPr>
      <w:r>
        <w:rPr>
          <w:rFonts w:eastAsia="David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כל מעשה ירי מנשק חם שלא 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 אם לא נעשה באזור מגורים או בקרבת בני 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מטבעו מגלם סיכון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 גם אם לא התקיים באותו מקרה סיכון קונקרטי שהעושה היה מודע לו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לפיכך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קיים אינטרס ציבורי לאסור על כל מעשה ירי שלא כדין גם בהעדר סיכון קונקרטי לחיי 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 קיימת הצדקה להחמיר את הענישה בגין ירי כאמור משנת מאסר כקבוע בחוק 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לשנתיים מאסר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  (</w:t>
      </w:r>
      <w:r>
        <w:rPr>
          <w:rtl w:val="true"/>
        </w:rPr>
        <w:t xml:space="preserve">הצעת </w:t>
      </w:r>
      <w:hyperlink r:id="rId2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132</w:t>
      </w:r>
      <w:r>
        <w:rPr>
          <w:rtl w:val="true"/>
        </w:rPr>
        <w:t>) (</w:t>
      </w:r>
      <w:r>
        <w:rPr>
          <w:rtl w:val="true"/>
        </w:rPr>
        <w:t>ירי מנשק חם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1223</w:t>
      </w:r>
      <w:r>
        <w:rPr>
          <w:rtl w:val="true"/>
        </w:rPr>
        <w:t xml:space="preserve">; </w:t>
      </w:r>
      <w:r>
        <w:rPr>
          <w:rtl w:val="true"/>
        </w:rPr>
        <w:t xml:space="preserve">פרסום ברשומות ספר החוקים </w:t>
      </w:r>
      <w:r>
        <w:rPr/>
        <w:t>2742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 באב 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/>
        <w:t>26.7.2018</w:t>
      </w:r>
      <w:r>
        <w:rPr>
          <w:rtl w:val="true"/>
        </w:rPr>
        <w:t xml:space="preserve">)). </w:t>
      </w:r>
    </w:p>
    <w:p>
      <w:pPr>
        <w:pStyle w:val="ListParagraph"/>
        <w:autoSpaceDE w:val="false"/>
        <w:spacing w:lineRule="auto" w:line="360" w:before="0" w:after="120"/>
        <w:ind w:start="1440" w:end="993"/>
        <w:contextualSpacing/>
        <w:jc w:val="both"/>
        <w:rPr/>
      </w:pPr>
      <w:r>
        <w:rPr>
          <w:rtl w:val="true"/>
        </w:rPr>
      </w:r>
    </w:p>
    <w:p>
      <w:pPr>
        <w:pStyle w:val="ListParagraph"/>
        <w:autoSpaceDE w:val="false"/>
        <w:spacing w:lineRule="auto" w:line="360" w:before="0" w:after="120"/>
        <w:ind w:start="1440" w:end="993"/>
        <w:contextualSpacing/>
        <w:jc w:val="both"/>
        <w:rPr/>
      </w:pPr>
      <w:r>
        <w:rPr>
          <w:rtl w:val="true"/>
        </w:rPr>
        <w:t>ראו גם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4595/13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זובידאת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 xml:space="preserve">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1414/17</w:t>
        </w:r>
      </w:hyperlink>
      <w:r>
        <w:rPr>
          <w:rtl w:val="true"/>
        </w:rPr>
        <w:t xml:space="preserve">, </w:t>
      </w:r>
      <w:r>
        <w:rPr/>
        <w:t>2030/17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עריאן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/>
        <w:t>25.10.17</w:t>
      </w:r>
      <w:r>
        <w:rPr>
          <w:rtl w:val="true"/>
        </w:rPr>
        <w:t xml:space="preserve">) </w:t>
      </w:r>
    </w:p>
    <w:p>
      <w:pPr>
        <w:pStyle w:val="ListParagraph"/>
        <w:spacing w:lineRule="auto" w:line="360" w:before="0" w:after="12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בחינת מידת פגיעת מעשי הנאשם בערך המוגן מובילה למסקנה כי היא </w:t>
      </w:r>
      <w:r>
        <w:rPr>
          <w:rFonts w:ascii="Times New Roman" w:hAnsi="Times New Roman" w:cs="Times New Roman"/>
          <w:b/>
          <w:b/>
          <w:bCs/>
          <w:rtl w:val="true"/>
        </w:rPr>
        <w:t>ברף הבינוני</w:t>
      </w:r>
      <w:r>
        <w:rPr>
          <w:rFonts w:cs="Times New Roman" w:ascii="Times New Roman" w:hAnsi="Times New Roman"/>
          <w:b/>
          <w:bCs/>
          <w:rtl w:val="true"/>
        </w:rPr>
        <w:t>-</w:t>
      </w:r>
      <w:r>
        <w:rPr>
          <w:rFonts w:ascii="Times New Roman" w:hAnsi="Times New Roman" w:cs="Times New Roman"/>
          <w:b/>
          <w:b/>
          <w:bCs/>
          <w:rtl w:val="true"/>
        </w:rPr>
        <w:t>גבוה</w:t>
      </w:r>
      <w:r>
        <w:rPr>
          <w:rFonts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בהקשר זה נתתי דעתי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לסוג הנשק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נשיאתו בצוותא עם נאשם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בשעת יום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שימוש בו בקרבת יישובי מגורים</w:t>
      </w:r>
      <w:r>
        <w:rPr>
          <w:rFonts w:cs="Times New Roman" w:ascii="Times New Roman" w:hAnsi="Times New Roman"/>
          <w:rtl w:val="true"/>
        </w:rPr>
        <w:t xml:space="preserve">.  </w:t>
      </w:r>
      <w:r>
        <w:rPr>
          <w:rFonts w:ascii="Times New Roman" w:hAnsi="Times New Roman" w:cs="Times New Roman"/>
          <w:rtl w:val="true"/>
        </w:rPr>
        <w:t>בצד 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הוצגה אינדיקציה לתכנון עבירה פלילית באמצעותו או לשימוש בכוונת פגיעה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ListParagraph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ListParagraph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ind w:end="0"/>
        <w:jc w:val="start"/>
        <w:rPr/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מדיניות הענישה הנוהגת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בפסיקה ענפה הושתו על נושאי נשק המבצעים בו עבירת ירי</w:t>
      </w:r>
      <w:r>
        <w:rPr>
          <w:rtl w:val="true"/>
        </w:rPr>
        <w:t xml:space="preserve">, </w:t>
      </w:r>
      <w:r>
        <w:rPr>
          <w:rtl w:val="true"/>
        </w:rPr>
        <w:t>עונשי מאסר מאחורי סורג ובריח לתקופות ארוכות</w:t>
      </w:r>
      <w:r>
        <w:rPr>
          <w:rtl w:val="true"/>
        </w:rPr>
        <w:t xml:space="preserve">. </w:t>
      </w:r>
      <w:r>
        <w:rPr>
          <w:rtl w:val="true"/>
        </w:rPr>
        <w:t>הפסיקה אינה מקלה עם נאשמים צעירים שזו להם הסתבכותם הראשונה עם החוק</w:t>
      </w:r>
      <w:r>
        <w:rPr>
          <w:rtl w:val="true"/>
        </w:rPr>
        <w:t xml:space="preserve">, </w:t>
      </w:r>
      <w:r>
        <w:rPr>
          <w:rtl w:val="true"/>
        </w:rPr>
        <w:t>ומבכרת את האינטרס הציבורי על פני 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לרבות במקרי שיקום</w:t>
      </w:r>
      <w:r>
        <w:rPr>
          <w:rtl w:val="true"/>
        </w:rPr>
        <w:t xml:space="preserve">. </w:t>
      </w:r>
      <w:r>
        <w:rPr>
          <w:rtl w:val="true"/>
        </w:rPr>
        <w:t>המסר העונשי נחרץ ואינו משתמע לשני פנים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שומה עלינו לזכור כי מדובר במשחק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סכום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אפס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שופט שמרחם על עבריין נשק ומקל בעונשו אינו מרחם על הקורבן הבא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פסק דינו של כב</w:t>
      </w:r>
      <w:r>
        <w:rPr>
          <w:rtl w:val="true"/>
        </w:rPr>
        <w:t xml:space="preserve">' </w:t>
      </w:r>
      <w:r>
        <w:rPr>
          <w:rtl w:val="true"/>
        </w:rPr>
        <w:t>השופט שטיין</w:t>
      </w:r>
      <w:r>
        <w:rPr>
          <w:rtl w:val="true"/>
        </w:rPr>
        <w:t xml:space="preserve">,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7850/21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דסוקי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)). </w:t>
      </w:r>
      <w:r>
        <w:rPr>
          <w:rtl w:val="true"/>
        </w:rPr>
        <w:t>מדיניות הענישה בעבירות של נשיאת נשק ושימוש בו מלמדת על גזירת עונשים כבדים</w:t>
      </w:r>
      <w:r>
        <w:rPr>
          <w:rtl w:val="true"/>
        </w:rPr>
        <w:t xml:space="preserve">, </w:t>
      </w:r>
      <w:r>
        <w:rPr>
          <w:rtl w:val="true"/>
        </w:rPr>
        <w:t xml:space="preserve">בעיקר במקרי ירי באזור מגורים מובהק </w:t>
      </w:r>
      <w:r>
        <w:rPr>
          <w:rtl w:val="true"/>
        </w:rPr>
        <w:t xml:space="preserve">( </w:t>
      </w:r>
      <w:hyperlink r:id="rId26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שבצידו מאסר בן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):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3169/21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אגבריה 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21.6.2021</w:t>
      </w:r>
      <w:r>
        <w:rPr>
          <w:rtl w:val="true"/>
        </w:rPr>
        <w:t xml:space="preserve">) </w:t>
      </w:r>
      <w:r>
        <w:rPr>
          <w:rtl w:val="true"/>
        </w:rPr>
        <w:t>החמיר בית המשפט העליון בעונשם של שני משיבים</w:t>
      </w:r>
      <w:r>
        <w:rPr>
          <w:rtl w:val="true"/>
        </w:rPr>
        <w:t xml:space="preserve">, </w:t>
      </w:r>
      <w:r>
        <w:rPr>
          <w:rtl w:val="true"/>
        </w:rPr>
        <w:t>ללא עבר</w:t>
      </w:r>
      <w:r>
        <w:rPr>
          <w:rtl w:val="true"/>
        </w:rPr>
        <w:t xml:space="preserve">, </w:t>
      </w:r>
      <w:r>
        <w:rPr>
          <w:rtl w:val="true"/>
        </w:rPr>
        <w:t>אשר ירו באוויר באמצעות רובה סער</w:t>
      </w:r>
      <w:r>
        <w:rPr>
          <w:rtl w:val="true"/>
        </w:rPr>
        <w:t xml:space="preserve">,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קליעים מחוץ לביתו של המתלונן</w:t>
      </w:r>
      <w:r>
        <w:rPr>
          <w:rtl w:val="true"/>
        </w:rPr>
        <w:t xml:space="preserve">, </w:t>
      </w:r>
      <w:r>
        <w:rPr>
          <w:rtl w:val="true"/>
        </w:rPr>
        <w:t>והשליכו ראש כבש לעבר חצר ביתו</w:t>
      </w:r>
      <w:r>
        <w:rPr>
          <w:rtl w:val="true"/>
        </w:rPr>
        <w:t xml:space="preserve">. </w:t>
      </w:r>
      <w:r>
        <w:rPr>
          <w:rtl w:val="true"/>
        </w:rPr>
        <w:t xml:space="preserve">כל אחד מהם נדון למאסר בן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 </w:t>
      </w:r>
      <w:r>
        <w:rPr>
          <w:rtl w:val="true"/>
        </w:rPr>
        <w:t xml:space="preserve">חלף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שהשית עליהם בית המשפט המחוזי</w:t>
      </w:r>
      <w:r>
        <w:rPr>
          <w:rtl w:val="true"/>
        </w:rPr>
        <w:t xml:space="preserve">;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6068/21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איברהים פקיה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19.12.2021</w:t>
      </w:r>
      <w:r>
        <w:rPr>
          <w:rtl w:val="true"/>
        </w:rPr>
        <w:t xml:space="preserve">) </w:t>
      </w:r>
      <w:r>
        <w:rPr>
          <w:rtl w:val="true"/>
        </w:rPr>
        <w:t>התקבל ערעור מדינה בעניינו של נאשם בעל עבר פלילי מכביד</w:t>
      </w:r>
      <w:r>
        <w:rPr>
          <w:rtl w:val="true"/>
        </w:rPr>
        <w:t xml:space="preserve">, </w:t>
      </w:r>
      <w:r>
        <w:rPr>
          <w:rtl w:val="true"/>
        </w:rPr>
        <w:t xml:space="preserve">שירה באוויר מספר כדורים בסמוך לאולם אירועים במחנה הפליטים שועפאט וגזר עליו מאסר </w:t>
      </w:r>
      <w:hyperlink r:id="rId29">
        <w:r>
          <w:rPr>
            <w:rStyle w:val="Hyperlink"/>
            <w:color w:val="0000FF"/>
            <w:u w:val="single"/>
            <w:rtl w:val="true"/>
          </w:rPr>
          <w:t xml:space="preserve">בן </w:t>
        </w:r>
        <w:r>
          <w:rPr>
            <w:rStyle w:val="Hyperlink"/>
            <w:color w:val="0000FF"/>
            <w:u w:val="single"/>
          </w:rPr>
          <w:t>14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חודשים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  <w:rtl w:val="true"/>
          </w:rPr>
          <w:t xml:space="preserve">בית המשפט העליון </w:t>
        </w:r>
      </w:hyperlink>
      <w:r>
        <w:rPr>
          <w:rtl w:val="true"/>
        </w:rPr>
        <w:t xml:space="preserve"> והעמידו על 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>;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1059/21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29.04.2021</w:t>
      </w:r>
      <w:r>
        <w:rPr>
          <w:rtl w:val="true"/>
        </w:rPr>
        <w:t xml:space="preserve">)- </w:t>
      </w:r>
      <w:r>
        <w:rPr>
          <w:rtl w:val="true"/>
        </w:rPr>
        <w:t>נדחה ערעורו של נאשם שהורשע בהחזקת אקדח גנוב וירי מספר יריות לעבר קטין עמו היה מסוכסך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הורשע בירי לפי </w:t>
      </w:r>
      <w:hyperlink r:id="rId31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), </w:t>
      </w:r>
      <w:r>
        <w:rPr>
          <w:rtl w:val="true"/>
        </w:rPr>
        <w:t xml:space="preserve">נדון למאסר בן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ערעורו נדחה</w:t>
      </w:r>
      <w:r>
        <w:rPr>
          <w:rtl w:val="true"/>
        </w:rPr>
        <w:t xml:space="preserve">; 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1509/20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נבארי </w:t>
      </w:r>
      <w:r>
        <w:rPr>
          <w:rtl w:val="true"/>
        </w:rPr>
        <w:t>(</w:t>
      </w:r>
      <w:r>
        <w:rPr/>
        <w:t>2.7.2020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rtl w:val="true"/>
        </w:rPr>
        <w:t>נדון נאשם</w:t>
      </w:r>
      <w:r>
        <w:rPr>
          <w:rtl w:val="true"/>
        </w:rPr>
        <w:t xml:space="preserve">, </w:t>
      </w:r>
      <w:r>
        <w:rPr>
          <w:rtl w:val="true"/>
        </w:rPr>
        <w:t>בעל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בגין נשיאת נשק מסוג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 xml:space="preserve">" </w:t>
      </w:r>
      <w:r>
        <w:rPr>
          <w:rtl w:val="true"/>
        </w:rPr>
        <w:t xml:space="preserve">וירי בשעת לילה של שני כדורים באזור מגורים למאסר בן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נקבע מתחם שנע בין </w:t>
      </w:r>
      <w:r>
        <w:rPr/>
        <w:t>20-50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בית המשפט קיבל את ערעור המדינה</w:t>
      </w:r>
      <w:r>
        <w:rPr>
          <w:rtl w:val="true"/>
        </w:rPr>
        <w:t xml:space="preserve">, </w:t>
      </w:r>
      <w:r>
        <w:rPr>
          <w:rtl w:val="true"/>
        </w:rPr>
        <w:t>קבע כי לא ניתן ביטוי הולם לחומרת המעשים ולצרכי ההרתעה</w:t>
      </w:r>
      <w:r>
        <w:rPr>
          <w:rtl w:val="true"/>
        </w:rPr>
        <w:t xml:space="preserve">, </w:t>
      </w:r>
      <w:r>
        <w:rPr>
          <w:rtl w:val="true"/>
        </w:rPr>
        <w:t xml:space="preserve">והעמיד את עונשו על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;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3728/22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פאוזי מסאלחה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שניתן לאחרונה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9.8.2022</w:t>
      </w:r>
      <w:r>
        <w:rPr>
          <w:rtl w:val="true"/>
        </w:rPr>
        <w:t xml:space="preserve">) </w:t>
      </w:r>
      <w:r>
        <w:rPr>
          <w:rtl w:val="true"/>
        </w:rPr>
        <w:t>נדחה ערעור של נאשם שהואשם ב</w:t>
      </w:r>
      <w:r>
        <w:rPr>
          <w:b/>
          <w:b/>
          <w:bCs/>
          <w:rtl w:val="true"/>
        </w:rPr>
        <w:t xml:space="preserve">סיוע </w:t>
      </w:r>
      <w:r>
        <w:rPr>
          <w:rtl w:val="true"/>
        </w:rPr>
        <w:t>לנשיאת נשק ולירי שאינו באזור מגורים</w:t>
      </w:r>
      <w:r>
        <w:rPr>
          <w:rtl w:val="true"/>
        </w:rPr>
        <w:t xml:space="preserve">, </w:t>
      </w:r>
      <w:r>
        <w:rPr>
          <w:rtl w:val="true"/>
        </w:rPr>
        <w:t>בכך שאחר שעמו נסע ברכב ירה יריה אחת באקדח שנשא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שנסיבותיו לנאלו של הנאשם שלפניי</w:t>
      </w:r>
      <w:r>
        <w:rPr>
          <w:rtl w:val="true"/>
        </w:rPr>
        <w:t xml:space="preserve">, </w:t>
      </w:r>
      <w:r>
        <w:rPr>
          <w:rtl w:val="true"/>
        </w:rPr>
        <w:t>צעיר משכיל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>הסובל מבעיה רפואית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tl w:val="true"/>
        </w:rPr>
        <w:t xml:space="preserve">, </w:t>
      </w:r>
      <w:r>
        <w:rPr>
          <w:rtl w:val="true"/>
        </w:rPr>
        <w:t>בגין חלקו כמסייע</w:t>
      </w:r>
      <w:r>
        <w:rPr>
          <w:rtl w:val="true"/>
        </w:rPr>
        <w:t xml:space="preserve">, </w:t>
      </w:r>
      <w:r>
        <w:rPr>
          <w:rtl w:val="true"/>
        </w:rPr>
        <w:t xml:space="preserve">למאסר בן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שותפו</w:t>
      </w:r>
      <w:r>
        <w:rPr>
          <w:rtl w:val="true"/>
        </w:rPr>
        <w:t xml:space="preserve">, </w:t>
      </w:r>
      <w:r>
        <w:rPr>
          <w:rtl w:val="true"/>
        </w:rPr>
        <w:t>בעל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נדון למאסר בן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 xml:space="preserve">חודשים והפעלת תנאי בן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 במצטבר לו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7831/21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מחמוד עסליה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24.4.2022</w:t>
      </w:r>
      <w:r>
        <w:rPr>
          <w:rtl w:val="true"/>
        </w:rPr>
        <w:t xml:space="preserve">) </w:t>
      </w:r>
      <w:r>
        <w:rPr>
          <w:rtl w:val="true"/>
        </w:rPr>
        <w:t>דחה בית המשפט העליון את ערעור המערער</w:t>
      </w:r>
      <w:r>
        <w:rPr>
          <w:rtl w:val="true"/>
        </w:rPr>
        <w:t xml:space="preserve">, </w:t>
      </w:r>
      <w:r>
        <w:rPr>
          <w:rtl w:val="true"/>
        </w:rPr>
        <w:t>ללא עבר</w:t>
      </w:r>
      <w:r>
        <w:rPr>
          <w:rtl w:val="true"/>
        </w:rPr>
        <w:t xml:space="preserve">, </w:t>
      </w:r>
      <w:r>
        <w:rPr>
          <w:rtl w:val="true"/>
        </w:rPr>
        <w:t>אשר יחד עם שניים אחרים</w:t>
      </w:r>
      <w:r>
        <w:rPr>
          <w:rtl w:val="true"/>
        </w:rPr>
        <w:t xml:space="preserve">, </w:t>
      </w:r>
      <w:r>
        <w:rPr>
          <w:rtl w:val="true"/>
        </w:rPr>
        <w:t>ירה במועדון הומה אדם באופן פזיז</w:t>
      </w:r>
      <w:r>
        <w:rPr>
          <w:rtl w:val="true"/>
        </w:rPr>
        <w:t xml:space="preserve">, </w:t>
      </w:r>
      <w:r>
        <w:rPr>
          <w:rtl w:val="true"/>
        </w:rPr>
        <w:t>על רקע סכסוך עם אחד מהנוכחים במקום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מתחם ענישה הנע בין </w:t>
      </w:r>
      <w:r>
        <w:rPr/>
        <w:t>72-36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וגזר עונשו למאסר בן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;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8322/21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דחלה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13.4.22</w:t>
      </w:r>
      <w:r>
        <w:rPr>
          <w:rtl w:val="true"/>
        </w:rPr>
        <w:t xml:space="preserve">) </w:t>
      </w:r>
      <w:r>
        <w:rPr>
          <w:rtl w:val="true"/>
        </w:rPr>
        <w:t>דחה בית המשפט העליון את ערעור המערער</w:t>
      </w:r>
      <w:r>
        <w:rPr>
          <w:rtl w:val="true"/>
        </w:rPr>
        <w:t xml:space="preserve">, </w:t>
      </w:r>
      <w:r>
        <w:rPr>
          <w:rtl w:val="true"/>
        </w:rPr>
        <w:t>צעיר ללא עבר</w:t>
      </w:r>
      <w:r>
        <w:rPr>
          <w:rtl w:val="true"/>
        </w:rPr>
        <w:t xml:space="preserve">, </w:t>
      </w:r>
      <w:r>
        <w:rPr>
          <w:rtl w:val="true"/>
        </w:rPr>
        <w:t>אשר ירה באקדח בסמוך לבתי מגורים על רקע סכסוך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מתחם ענישה הנע בין </w:t>
      </w:r>
      <w:r>
        <w:rPr/>
        <w:t>54-34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נדון למאסר בן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1682/22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סבג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11.9.22</w:t>
      </w:r>
      <w:r>
        <w:rPr>
          <w:rtl w:val="true"/>
        </w:rPr>
        <w:t xml:space="preserve">), </w:t>
      </w:r>
      <w:r>
        <w:rPr>
          <w:rtl w:val="true"/>
        </w:rPr>
        <w:t>מקרה שנסיבותיו חמורות יותר מענייננו</w:t>
      </w:r>
      <w:r>
        <w:rPr>
          <w:rtl w:val="true"/>
        </w:rPr>
        <w:t xml:space="preserve">, </w:t>
      </w:r>
      <w:r>
        <w:rPr>
          <w:rtl w:val="true"/>
        </w:rPr>
        <w:t>דחה בית המשפט העליון את ערעור המערער</w:t>
      </w:r>
      <w:r>
        <w:rPr>
          <w:rtl w:val="true"/>
        </w:rPr>
        <w:t xml:space="preserve">, </w:t>
      </w:r>
      <w:r>
        <w:rPr>
          <w:rtl w:val="true"/>
        </w:rPr>
        <w:t>בעל עבר פלילי מכביד</w:t>
      </w:r>
      <w:r>
        <w:rPr>
          <w:rtl w:val="true"/>
        </w:rPr>
        <w:t xml:space="preserve">, </w:t>
      </w:r>
      <w:r>
        <w:rPr>
          <w:rtl w:val="true"/>
        </w:rPr>
        <w:t>אשר יחד עם שניים נוספים</w:t>
      </w:r>
      <w:r>
        <w:rPr>
          <w:rtl w:val="true"/>
        </w:rPr>
        <w:t xml:space="preserve">, </w:t>
      </w:r>
      <w:r>
        <w:rPr>
          <w:rtl w:val="true"/>
        </w:rPr>
        <w:t>ירה באקדח חצי אוטומטי בשעת צהריים סמוך לביתו של אדם עמו היה מסוכסך</w:t>
      </w:r>
      <w:r>
        <w:rPr>
          <w:rtl w:val="true"/>
        </w:rPr>
        <w:t xml:space="preserve">. </w:t>
      </w:r>
      <w:r>
        <w:rPr>
          <w:rtl w:val="true"/>
        </w:rPr>
        <w:t xml:space="preserve">נקבע מתחם ענישה הנע בין </w:t>
      </w:r>
      <w:r>
        <w:rPr/>
        <w:t>60-30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המערער נדון למאסר בן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זהו המקום לציין</w:t>
      </w:r>
      <w:r>
        <w:rPr>
          <w:rtl w:val="true"/>
        </w:rPr>
        <w:t xml:space="preserve">, </w:t>
      </w:r>
      <w:r>
        <w:rPr>
          <w:rtl w:val="true"/>
        </w:rPr>
        <w:t xml:space="preserve">כי מדיניות הענישה בעבירת נשיאת נשק </w:t>
      </w:r>
      <w:r>
        <w:rPr>
          <w:b/>
          <w:b/>
          <w:bCs/>
          <w:rtl w:val="true"/>
        </w:rPr>
        <w:t>לבדה</w:t>
      </w:r>
      <w:r>
        <w:rPr>
          <w:rtl w:val="true"/>
        </w:rPr>
        <w:t xml:space="preserve"> מצויה במגמת החמרה עקבית ומתמשכת</w:t>
      </w:r>
      <w:r>
        <w:rPr>
          <w:rtl w:val="true"/>
        </w:rPr>
        <w:t xml:space="preserve">, </w:t>
      </w:r>
      <w:r>
        <w:rPr>
          <w:rtl w:val="true"/>
        </w:rPr>
        <w:t>כך ב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5602/22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tl w:val="true"/>
        </w:rPr>
        <w:t xml:space="preserve"> שניתן לפני מספר ימים</w:t>
      </w:r>
      <w:r>
        <w:rPr>
          <w:rtl w:val="true"/>
        </w:rPr>
        <w:t xml:space="preserve">, </w:t>
      </w:r>
      <w:r>
        <w:rPr>
          <w:rtl w:val="true"/>
        </w:rPr>
        <w:t xml:space="preserve">נקבע במקרה של נשיאת אקדח ברכב מתחם ענישה ראוי שנע בין </w:t>
      </w:r>
      <w:r>
        <w:rPr/>
        <w:t>30-42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על הנאשם</w:t>
      </w:r>
      <w:r>
        <w:rPr>
          <w:rtl w:val="true"/>
        </w:rPr>
        <w:t xml:space="preserve">, </w:t>
      </w:r>
      <w:r>
        <w:rPr>
          <w:rtl w:val="true"/>
        </w:rPr>
        <w:t>תושב האזור</w:t>
      </w:r>
      <w:r>
        <w:rPr>
          <w:rtl w:val="true"/>
        </w:rPr>
        <w:t xml:space="preserve">, </w:t>
      </w:r>
      <w:r>
        <w:rPr>
          <w:rtl w:val="true"/>
        </w:rPr>
        <w:t xml:space="preserve">נגזרו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חלף עונש מאסר בן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6021/21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עלי עבוד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19.12.2021</w:t>
      </w:r>
      <w:r>
        <w:rPr>
          <w:rtl w:val="true"/>
        </w:rPr>
        <w:t xml:space="preserve">) </w:t>
      </w:r>
      <w:r>
        <w:rPr>
          <w:rtl w:val="true"/>
        </w:rPr>
        <w:t>נדחה ערעורו של נאשם</w:t>
      </w:r>
      <w:r>
        <w:rPr>
          <w:rtl w:val="true"/>
        </w:rPr>
        <w:t xml:space="preserve">, </w:t>
      </w:r>
      <w:r>
        <w:rPr>
          <w:rtl w:val="true"/>
        </w:rPr>
        <w:t>ללא עבר</w:t>
      </w:r>
      <w:r>
        <w:rPr>
          <w:rtl w:val="true"/>
        </w:rPr>
        <w:t xml:space="preserve">, </w:t>
      </w:r>
      <w:r>
        <w:rPr>
          <w:rtl w:val="true"/>
        </w:rPr>
        <w:t xml:space="preserve">שהורשע בנשיאת נשק מסוג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 xml:space="preserve">והפרעה לשוטר </w:t>
      </w:r>
      <w:r>
        <w:rPr>
          <w:b/>
          <w:b/>
          <w:bCs/>
          <w:rtl w:val="true"/>
        </w:rPr>
        <w:t xml:space="preserve">ונדון למאסר בן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1658/22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איהאב נח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אש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19.6.2022</w:t>
      </w:r>
      <w:r>
        <w:rPr>
          <w:rtl w:val="true"/>
        </w:rPr>
        <w:t xml:space="preserve">) </w:t>
      </w:r>
      <w:r>
        <w:rPr>
          <w:rtl w:val="true"/>
        </w:rPr>
        <w:t xml:space="preserve">נדחה ערעורו של נאשם שהורשע בעבירת נשיאה והובלה של תת מקלע </w:t>
      </w:r>
      <w:r>
        <w:rPr>
          <w:rtl w:val="true"/>
        </w:rPr>
        <w:t>"</w:t>
      </w:r>
      <w:r>
        <w:rPr>
          <w:rtl w:val="true"/>
        </w:rPr>
        <w:t>עוזי</w:t>
      </w:r>
      <w:r>
        <w:rPr>
          <w:rtl w:val="true"/>
        </w:rPr>
        <w:t xml:space="preserve">" </w:t>
      </w:r>
      <w:r>
        <w:rPr>
          <w:rtl w:val="true"/>
        </w:rPr>
        <w:t xml:space="preserve">ומחסנית למאסר בן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 xml:space="preserve">עוד מייחסת הפסיקה משנה חומרה לעבירות המבוצעות בנשק מסוג תת מקלע </w:t>
      </w:r>
      <w:r>
        <w:rPr>
          <w:rtl w:val="true"/>
        </w:rPr>
        <w:t>"</w:t>
      </w:r>
      <w:r>
        <w:rPr>
          <w:rtl w:val="true"/>
        </w:rPr>
        <w:t>קרל גוסטב</w:t>
      </w:r>
      <w:r>
        <w:rPr>
          <w:rtl w:val="true"/>
        </w:rPr>
        <w:t xml:space="preserve">", </w:t>
      </w:r>
      <w:r>
        <w:rPr>
          <w:rtl w:val="true"/>
        </w:rPr>
        <w:t xml:space="preserve">לגביו נקבע כי </w:t>
      </w:r>
      <w:r>
        <w:rPr>
          <w:rtl w:val="true"/>
        </w:rPr>
        <w:t>"</w:t>
      </w:r>
      <w:r>
        <w:rPr>
          <w:b/>
          <w:b/>
          <w:bCs/>
          <w:rtl w:val="true"/>
        </w:rPr>
        <w:t>מסוגל לירות ירי אוטומטי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מדובר בנשק התקפי שבכוחו לגרום להרג ללא הבחנה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פוטנציאל הסיכון הגלום בו הוא אפוא גבוה</w:t>
      </w:r>
      <w:r>
        <w:rPr>
          <w:b/>
          <w:bCs/>
          <w:rtl w:val="true"/>
        </w:rPr>
        <w:t>...</w:t>
      </w:r>
      <w:r>
        <w:rPr>
          <w:rtl w:val="true"/>
        </w:rPr>
        <w:t xml:space="preserve">" </w:t>
      </w:r>
      <w:r>
        <w:rPr>
          <w:rFonts w:cs="Arimo;Times New Roman" w:ascii="Arimo;Times New Roman" w:hAnsi="Arimo;Times New Roman"/>
          <w:rtl w:val="true"/>
        </w:rPr>
        <w:t>(</w:t>
      </w:r>
      <w:hyperlink r:id="rId40"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</w:rPr>
          <w:t>4945/13</w:t>
        </w:r>
      </w:hyperlink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b/>
          <w:b/>
          <w:bCs/>
          <w:rtl w:val="true"/>
        </w:rPr>
        <w:t>מדינת</w:t>
      </w:r>
      <w:r>
        <w:rPr>
          <w:rFonts w:ascii="Arimo;Times New Roman" w:hAnsi="Arimo;Times New Roman" w:cs="Arimo;Times New Roman"/>
          <w:b/>
          <w:b/>
          <w:bCs/>
          <w:rtl w:val="true"/>
        </w:rPr>
        <w:t xml:space="preserve"> </w:t>
      </w:r>
      <w:r>
        <w:rPr>
          <w:rFonts w:ascii="Arimo;Times New Roman" w:hAnsi="Arimo;Times New Roman" w:cs="Arimo;Times New Roman"/>
          <w:b/>
          <w:b/>
          <w:bCs/>
          <w:rtl w:val="true"/>
        </w:rPr>
        <w:t>ישראל</w:t>
      </w:r>
      <w:r>
        <w:rPr>
          <w:rFonts w:ascii="Arimo;Times New Roman" w:hAnsi="Arimo;Times New Roman" w:cs="Arimo;Times New Roman"/>
          <w:b/>
          <w:b/>
          <w:bCs/>
          <w:rtl w:val="true"/>
        </w:rPr>
        <w:t xml:space="preserve"> </w:t>
      </w:r>
      <w:r>
        <w:rPr>
          <w:rFonts w:ascii="Arimo;Times New Roman" w:hAnsi="Arimo;Times New Roman" w:cs="Arimo;Times New Roman"/>
          <w:b/>
          <w:b/>
          <w:bCs/>
          <w:rtl w:val="true"/>
        </w:rPr>
        <w:t>נ</w:t>
      </w:r>
      <w:r>
        <w:rPr>
          <w:rFonts w:cs="Arimo;Times New Roman" w:ascii="Arimo;Times New Roman" w:hAnsi="Arimo;Times New Roman"/>
          <w:b/>
          <w:bCs/>
          <w:rtl w:val="true"/>
        </w:rPr>
        <w:t xml:space="preserve">' </w:t>
      </w:r>
      <w:r>
        <w:rPr>
          <w:rFonts w:ascii="Arimo;Times New Roman" w:hAnsi="Arimo;Times New Roman" w:cs="Arimo;Times New Roman"/>
          <w:b/>
          <w:b/>
          <w:bCs/>
          <w:rtl w:val="true"/>
        </w:rPr>
        <w:t>סלימאן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19.1.2014</w:t>
      </w:r>
      <w:r>
        <w:rPr>
          <w:rtl w:val="true"/>
        </w:rPr>
        <w:t xml:space="preserve">)).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rtl w:val="true"/>
        </w:rPr>
        <w:t>עיינתי בפסיקה אליה הפנה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הכוללת עונשים מתונים יותר</w:t>
      </w:r>
      <w:r>
        <w:rPr>
          <w:rtl w:val="true"/>
        </w:rPr>
        <w:t xml:space="preserve">, </w:t>
      </w:r>
      <w:r>
        <w:rPr>
          <w:rtl w:val="true"/>
        </w:rPr>
        <w:t xml:space="preserve">רובה ישנה יחסית ואינה אקטואלית </w:t>
      </w:r>
      <w:r>
        <w:rPr>
          <w:rtl w:val="true"/>
        </w:rPr>
        <w:t>(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2006/12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סאדי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/>
        <w:t>28.3.2012</w:t>
      </w:r>
      <w:r>
        <w:rPr>
          <w:rtl w:val="true"/>
        </w:rPr>
        <w:t xml:space="preserve">); </w:t>
      </w:r>
      <w:hyperlink r:id="rId4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3068-11-15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רבאן</w:t>
      </w:r>
      <w:r>
        <w:rPr>
          <w:rtl w:val="true"/>
        </w:rPr>
        <w:t xml:space="preserve">, </w:t>
      </w:r>
      <w:r>
        <w:rPr>
          <w:rtl w:val="true"/>
        </w:rPr>
        <w:t>כשבת</w:t>
      </w:r>
      <w:r>
        <w:rPr>
          <w:rtl w:val="true"/>
        </w:rPr>
        <w:t>"</w:t>
      </w:r>
      <w:hyperlink r:id="rId43"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>'-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32339-12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</w:rPr>
          <w:t>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אחמד פנאכדה </w:t>
      </w:r>
      <w:r>
        <w:rPr>
          <w:rtl w:val="true"/>
        </w:rPr>
        <w:t>(</w:t>
      </w:r>
      <w:r>
        <w:rPr/>
        <w:t>17.6.21</w:t>
      </w:r>
      <w:r>
        <w:rPr>
          <w:rtl w:val="true"/>
        </w:rPr>
        <w:t xml:space="preserve">), </w:t>
      </w:r>
      <w:r>
        <w:rPr>
          <w:rtl w:val="true"/>
        </w:rPr>
        <w:t xml:space="preserve">במסגרתו נדונו שלושה נאשמים בעבירות נשיאת תת מקלע מאולתר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 xml:space="preserve">" </w:t>
      </w:r>
      <w:r>
        <w:rPr>
          <w:rtl w:val="true"/>
        </w:rPr>
        <w:t xml:space="preserve">וירי בכביש עפר צמוד לכביש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 xml:space="preserve">לעונש מאסר בן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ניתן משקל נכבד להליכי שיקום</w:t>
      </w:r>
      <w:r>
        <w:rPr>
          <w:rtl w:val="true"/>
        </w:rPr>
        <w:t xml:space="preserve">).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לאחר שבחנתי את נסיבות מעשי הנאשם</w:t>
      </w:r>
      <w:r>
        <w:rPr>
          <w:rtl w:val="true"/>
        </w:rPr>
        <w:t xml:space="preserve">, </w:t>
      </w:r>
      <w:r>
        <w:rPr>
          <w:rtl w:val="true"/>
        </w:rPr>
        <w:t>שלא כללו ירי מכוון או באזור מגורים</w:t>
      </w:r>
      <w:r>
        <w:rPr>
          <w:rtl w:val="true"/>
        </w:rPr>
        <w:t xml:space="preserve">, </w:t>
      </w:r>
      <w:r>
        <w:rPr>
          <w:rtl w:val="true"/>
        </w:rPr>
        <w:t>מידת הפגיעה בערכים המוגנים ומדיניות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אני קובעת מתחם ענישה שנע</w:t>
      </w:r>
      <w:r>
        <w:rPr>
          <w:b/>
          <w:b/>
          <w:bCs/>
          <w:rtl w:val="true"/>
        </w:rPr>
        <w:t xml:space="preserve"> בין </w:t>
      </w:r>
      <w:r>
        <w:rPr>
          <w:b/>
          <w:bCs/>
        </w:rPr>
        <w:t>28-50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b/>
          <w:bCs/>
          <w:rtl w:val="true"/>
        </w:rPr>
        <w:t xml:space="preserve">. </w:t>
      </w:r>
    </w:p>
    <w:p>
      <w:pPr>
        <w:pStyle w:val="ListParagraph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 העונש המתאים לנאשם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 xml:space="preserve">הנאשם כבן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נטול עבר פלילי</w:t>
      </w:r>
      <w:r>
        <w:rPr>
          <w:rtl w:val="true"/>
        </w:rPr>
        <w:t xml:space="preserve">, </w:t>
      </w:r>
      <w:r>
        <w:rPr>
          <w:rtl w:val="true"/>
        </w:rPr>
        <w:t>בן למשפחה טובה</w:t>
      </w:r>
      <w:r>
        <w:rPr>
          <w:rtl w:val="true"/>
        </w:rPr>
        <w:t xml:space="preserve">. </w:t>
      </w:r>
      <w:r>
        <w:rPr>
          <w:rtl w:val="true"/>
        </w:rPr>
        <w:t>נתוניו אינם שונים מנתוניהם של מרבית עברייני הנשק בעת האחרונה</w:t>
      </w:r>
      <w:r>
        <w:rPr>
          <w:rtl w:val="true"/>
        </w:rPr>
        <w:t xml:space="preserve">, </w:t>
      </w:r>
      <w:r>
        <w:rPr>
          <w:rtl w:val="true"/>
        </w:rPr>
        <w:t>רובם צעירים</w:t>
      </w:r>
      <w:r>
        <w:rPr>
          <w:rtl w:val="true"/>
        </w:rPr>
        <w:t xml:space="preserve">, </w:t>
      </w:r>
      <w:r>
        <w:rPr>
          <w:rtl w:val="true"/>
        </w:rPr>
        <w:t>בנים למשפחות טובות</w:t>
      </w:r>
      <w:r>
        <w:rPr>
          <w:rtl w:val="true"/>
        </w:rPr>
        <w:t xml:space="preserve">, </w:t>
      </w:r>
      <w:r>
        <w:rPr>
          <w:rtl w:val="true"/>
        </w:rPr>
        <w:t>נטולי עבר פלילי</w:t>
      </w:r>
      <w:r>
        <w:rPr>
          <w:rtl w:val="true"/>
        </w:rPr>
        <w:t xml:space="preserve">, </w:t>
      </w:r>
      <w:r>
        <w:rPr>
          <w:rtl w:val="true"/>
        </w:rPr>
        <w:t>שמבצעים עבירות נשק לחיזוק מעמדם החברתי בקרב גורמים שוליים ובעייתיים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תסקירו אינו חיובי</w:t>
      </w:r>
      <w:r>
        <w:rPr>
          <w:rtl w:val="true"/>
        </w:rPr>
        <w:t xml:space="preserve">, </w:t>
      </w:r>
      <w:r>
        <w:rPr>
          <w:rtl w:val="true"/>
        </w:rPr>
        <w:t>התמונה המשתקפת ממנו מלמדת על נאשם צעיר נעדר דפוסים עברייניים מושרשים המחזיק בעמדות מקלות ביחס לעבירות נשק ומצמצם מאחריותו ומחומרת מעשיו</w:t>
      </w:r>
      <w:r>
        <w:rPr>
          <w:rtl w:val="true"/>
        </w:rPr>
        <w:t xml:space="preserve">. </w:t>
      </w:r>
      <w:r>
        <w:rPr>
          <w:rtl w:val="true"/>
        </w:rPr>
        <w:t>הנאשם הועבר תחילה למעצר בתנאי איזוק אך לאחר מספר חודשים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tl w:val="true"/>
        </w:rPr>
        <w:t xml:space="preserve">, </w:t>
      </w:r>
      <w:r>
        <w:rPr>
          <w:rtl w:val="true"/>
        </w:rPr>
        <w:t>מיוזמתו</w:t>
      </w:r>
      <w:r>
        <w:rPr>
          <w:rtl w:val="true"/>
        </w:rPr>
        <w:t xml:space="preserve">, </w:t>
      </w:r>
      <w:r>
        <w:rPr>
          <w:rtl w:val="true"/>
        </w:rPr>
        <w:t>לריצוי מעצר ממש</w:t>
      </w:r>
      <w:r>
        <w:rPr>
          <w:rtl w:val="true"/>
        </w:rPr>
        <w:t xml:space="preserve">. </w:t>
      </w:r>
      <w:r>
        <w:rPr>
          <w:rtl w:val="true"/>
        </w:rPr>
        <w:t>הנאשם לא גילה נזקקות טיפולית ולא שולב בהליך טיפולי</w:t>
      </w:r>
      <w:r>
        <w:rPr>
          <w:rtl w:val="true"/>
        </w:rPr>
        <w:t xml:space="preserve">, </w:t>
      </w:r>
      <w:r>
        <w:rPr>
          <w:rtl w:val="true"/>
        </w:rPr>
        <w:t>ניכר כי ממוקד בסיום ההליך המשפטי והשלמת ריצוי העונש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בצד 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העצור לראשונה בחייו</w:t>
      </w:r>
      <w:r>
        <w:rPr>
          <w:rtl w:val="true"/>
        </w:rPr>
        <w:t xml:space="preserve">, </w:t>
      </w:r>
      <w:r>
        <w:rPr>
          <w:rtl w:val="true"/>
        </w:rPr>
        <w:t xml:space="preserve">סובל לפרקים מהתקפי אפילפסיה </w:t>
      </w:r>
      <w:r>
        <w:rPr>
          <w:rtl w:val="true"/>
        </w:rPr>
        <w:t>(</w:t>
      </w:r>
      <w:r>
        <w:rPr>
          <w:rtl w:val="true"/>
        </w:rPr>
        <w:t>מסמכים 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חווית המעצר קשה לו</w:t>
      </w:r>
      <w:r>
        <w:rPr>
          <w:rtl w:val="true"/>
        </w:rPr>
        <w:t xml:space="preserve">. </w:t>
      </w:r>
      <w:r>
        <w:rPr>
          <w:rtl w:val="true"/>
        </w:rPr>
        <w:t>תסקירו מלמד על הבנה מצדו כי עליו לשלם את חובו לחברה</w:t>
      </w:r>
      <w:r>
        <w:rPr>
          <w:rtl w:val="true"/>
        </w:rPr>
        <w:t xml:space="preserve">, </w:t>
      </w:r>
      <w:r>
        <w:rPr>
          <w:rtl w:val="true"/>
        </w:rPr>
        <w:t>והוא מוכן וערוך לכך</w:t>
      </w:r>
      <w:r>
        <w:rPr>
          <w:rtl w:val="true"/>
        </w:rPr>
        <w:t xml:space="preserve">. </w:t>
      </w:r>
      <w:r>
        <w:rPr>
          <w:rtl w:val="true"/>
        </w:rPr>
        <w:t>משאלו הם פני הדברים</w:t>
      </w:r>
      <w:r>
        <w:rPr>
          <w:rtl w:val="true"/>
        </w:rPr>
        <w:t xml:space="preserve">, </w:t>
      </w:r>
      <w:r>
        <w:rPr>
          <w:rtl w:val="true"/>
        </w:rPr>
        <w:t>לא נמצא בסיס לחריגה ממתחם עונשו לצרכי שיקום אלא להתחשבות בנסיבותיו בגדרי המתחם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tl w:val="true"/>
        </w:rPr>
        <w:t xml:space="preserve">, </w:t>
      </w:r>
      <w:r>
        <w:rPr>
          <w:rtl w:val="true"/>
        </w:rPr>
        <w:t>בשים לב לשיקולי הרתעת הרבים והרתעת יחיד למקמו בחלקו התחתון של המתחם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אני גוזרת על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איפוא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את העונשים הבאים</w:t>
      </w:r>
      <w:r>
        <w:rPr>
          <w:b/>
          <w:bCs/>
          <w:rtl w:val="true"/>
        </w:rPr>
        <w:t>:</w:t>
      </w:r>
    </w:p>
    <w:p>
      <w:pPr>
        <w:pStyle w:val="ListParagraph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בניכוי ימי מעצרו </w:t>
      </w:r>
      <w:r>
        <w:rPr/>
        <w:t>10.3.21-31.5.21</w:t>
      </w:r>
      <w:r>
        <w:rPr>
          <w:rtl w:val="true"/>
        </w:rPr>
        <w:t xml:space="preserve">, </w:t>
      </w:r>
      <w:r>
        <w:rPr>
          <w:rtl w:val="true"/>
        </w:rPr>
        <w:t xml:space="preserve">והחל מיום </w:t>
      </w:r>
      <w:r>
        <w:rPr/>
        <w:t>21.11.21</w:t>
      </w:r>
      <w:r>
        <w:rPr>
          <w:rtl w:val="true"/>
        </w:rPr>
        <w:t xml:space="preserve"> </w:t>
      </w:r>
      <w:r>
        <w:rPr>
          <w:rtl w:val="true"/>
        </w:rPr>
        <w:t>עד היום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מאסר על תנאי בן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לבל יעבור הנאשם עבירת נשק</w:t>
      </w:r>
      <w:r>
        <w:rPr>
          <w:rtl w:val="true"/>
        </w:rPr>
        <w:t xml:space="preserve">, </w:t>
      </w:r>
      <w:r>
        <w:rPr>
          <w:rtl w:val="true"/>
        </w:rPr>
        <w:t>לרבות שימוש בו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קנס בסך </w:t>
      </w:r>
      <w:r>
        <w:rPr/>
        <w:t>6000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>הקנס ישולם ב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תשלומים שווים ורצופים החל מיום </w:t>
      </w:r>
      <w:r>
        <w:rPr/>
        <w:t>1.12.22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לבית המשפט העליון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Ruller41"/>
        <w:ind w:end="0"/>
        <w:jc w:val="both"/>
        <w:textAlignment w:val="baseline"/>
        <w:rPr>
          <w:rFonts w:ascii="Times New Roman" w:hAnsi="Times New Roman" w:cs="David"/>
          <w:b/>
          <w:bCs/>
          <w:spacing w:val="0"/>
          <w:sz w:val="24"/>
          <w:szCs w:val="24"/>
        </w:rPr>
      </w:pP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</w:r>
    </w:p>
    <w:p>
      <w:pPr>
        <w:pStyle w:val="Ruller41"/>
        <w:ind w:end="0"/>
        <w:jc w:val="both"/>
        <w:textAlignment w:val="baseline"/>
        <w:rPr>
          <w:rFonts w:ascii="Times New Roman" w:hAnsi="Times New Roman"/>
          <w:spacing w:val="0"/>
          <w:sz w:val="24"/>
          <w:szCs w:val="24"/>
        </w:rPr>
      </w:pP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מאשרת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לנאשם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להחזיק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ידה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אמו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שנמצאת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באולם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.</w:t>
      </w:r>
    </w:p>
    <w:p>
      <w:pPr>
        <w:pStyle w:val="Ruller41"/>
        <w:ind w:end="0"/>
        <w:jc w:val="both"/>
        <w:textAlignment w:val="baseline"/>
        <w:rPr>
          <w:rFonts w:ascii="Times New Roman" w:hAnsi="Times New Roman" w:cs="David"/>
          <w:spacing w:val="0"/>
          <w:sz w:val="6"/>
          <w:szCs w:val="6"/>
        </w:rPr>
      </w:pPr>
      <w:r>
        <w:rPr>
          <w:rFonts w:cs="David" w:ascii="Times New Roman" w:hAnsi="Times New Roman"/>
          <w:spacing w:val="0"/>
          <w:sz w:val="6"/>
          <w:szCs w:val="6"/>
          <w:rtl w:val="true"/>
        </w:rPr>
        <w:t>&lt;</w:t>
      </w:r>
      <w:r>
        <w:rPr>
          <w:rFonts w:cs="David" w:ascii="Times New Roman" w:hAnsi="Times New Roman"/>
          <w:spacing w:val="0"/>
          <w:sz w:val="6"/>
          <w:szCs w:val="6"/>
        </w:rPr>
        <w:t>#4#</w:t>
      </w:r>
      <w:r>
        <w:rPr>
          <w:rFonts w:cs="David" w:ascii="Times New Roman" w:hAnsi="Times New Roman"/>
          <w:spacing w:val="0"/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rFonts w:ascii="Times New Roman" w:hAnsi="Times New Roman" w:cs="David"/>
          <w:spacing w:val="0"/>
          <w:sz w:val="6"/>
          <w:szCs w:val="6"/>
        </w:rPr>
      </w:pPr>
      <w:r>
        <w:rPr>
          <w:rFonts w:cs="David" w:ascii="Times New Roman" w:hAnsi="Times New Roman"/>
          <w:spacing w:val="0"/>
          <w:sz w:val="6"/>
          <w:szCs w:val="6"/>
          <w:rtl w:val="true"/>
        </w:rPr>
      </w:r>
    </w:p>
    <w:p>
      <w:pPr>
        <w:pStyle w:val="Normal"/>
        <w:ind w:end="0"/>
        <w:jc w:val="start"/>
        <w:rPr/>
      </w:pPr>
      <w:bookmarkStart w:id="19" w:name="Nitan"/>
      <w:r>
        <w:rPr>
          <w:b/>
          <w:b/>
          <w:bCs/>
          <w:rtl w:val="true"/>
        </w:rPr>
        <w:t>ניתנה והודעה היום 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תשרי 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28/09/2022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  <w:bookmarkEnd w:id="19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מרב גרינברג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center"/>
        <w:textAlignment w:val="baseline"/>
        <w:rPr>
          <w:rFonts w:ascii="David" w:hAnsi="David" w:cs="David"/>
          <w:color w:val="FFFFFF"/>
          <w:spacing w:val="0"/>
          <w:sz w:val="2"/>
          <w:szCs w:val="2"/>
        </w:rPr>
      </w:pPr>
      <w:r>
        <w:rPr>
          <w:rFonts w:cs="David" w:ascii="David" w:hAnsi="David"/>
          <w:color w:val="FFFFFF"/>
          <w:spacing w:val="0"/>
          <w:sz w:val="2"/>
          <w:szCs w:val="2"/>
        </w:rPr>
        <w:t>54678313</w:t>
      </w:r>
    </w:p>
    <w:p>
      <w:pPr>
        <w:pStyle w:val="Ruller41"/>
        <w:ind w:end="0"/>
        <w:jc w:val="both"/>
        <w:textAlignment w:val="baseline"/>
        <w:rPr>
          <w:rFonts w:ascii="David" w:hAnsi="David" w:cs="David"/>
          <w:spacing w:val="0"/>
          <w:sz w:val="24"/>
          <w:szCs w:val="24"/>
        </w:rPr>
      </w:pPr>
      <w:r>
        <w:rPr>
          <w:rFonts w:eastAsia="David" w:cs="David" w:ascii="David" w:hAnsi="David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textAlignment w:val="baseline"/>
        <w:rPr>
          <w:rFonts w:cs="David"/>
        </w:rPr>
      </w:pPr>
      <w:r>
        <w:rPr>
          <w:rFonts w:cs="Times New Roman" w:ascii="Times New Roman" w:hAnsi="Times New Roman"/>
          <w:spacing w:val="0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אורית</w:t>
      </w:r>
      <w:r>
        <w:rPr>
          <w:rtl w:val="true"/>
        </w:rPr>
        <w:t xml:space="preserve"> </w:t>
      </w:r>
      <w:r>
        <w:rPr>
          <w:rtl w:val="true"/>
        </w:rPr>
        <w:t>שטורם</w:t>
      </w:r>
    </w:p>
    <w:p>
      <w:pPr>
        <w:pStyle w:val="Normal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 מסמך זה כפוף לשינויי ניסוח ועריכה</w:t>
      </w:r>
    </w:p>
    <w:sectPr>
      <w:headerReference w:type="default" r:id="rId45"/>
      <w:footerReference w:type="default" r:id="rId4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mo">
    <w:altName w:val="arial"/>
    <w:charset w:val="00" w:characterSet="windows-125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auto" w:line="218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35431-03-21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אשרף אחמד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35431-03-21"/>
    <w:docVar w:name="caseId" w:val="78186452"/>
    <w:docVar w:name="deriveClass" w:val="NGCS.Protocol.BL.Client.ProtocolBLClientCriminal"/>
    <w:docVar w:name="firstPageNumber" w:val="15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2"/>
    <w:docVar w:name="NGCS.userUPN" w:val="ëåìí"/>
    <w:docVar w:name="privellegeId" w:val="1"/>
    <w:docVar w:name="protocolId" w:val="12892160"/>
    <w:docVar w:name="releaseSign" w:val="0"/>
    <w:docVar w:name="sittingDateTime" w:val="28/09/2022 09:00     "/>
    <w:docVar w:name="sittingId" w:val="93766434"/>
    <w:docVar w:name="sittingTypeId" w:val="2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b/>
      <w:bCs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WW8Num18z0">
    <w:name w:val="WW8Num18z0"/>
    <w:qFormat/>
    <w:rPr>
      <w:rFonts w:cs="Times New Roman"/>
    </w:rPr>
  </w:style>
  <w:style w:type="character" w:styleId="WW8Num19z0">
    <w:name w:val="WW8Num19z0"/>
    <w:qFormat/>
    <w:rPr>
      <w:rFonts w:ascii="David" w:hAnsi="David" w:cs="David"/>
      <w:b w:val="false"/>
      <w:bCs w:val="false"/>
      <w:sz w:val="24"/>
      <w:szCs w:val="24"/>
    </w:rPr>
  </w:style>
  <w:style w:type="character" w:styleId="WW8Num19z1">
    <w:name w:val="WW8Num19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</w:rPr>
  </w:style>
  <w:style w:type="character" w:styleId="PageNumber">
    <w:name w:val="page number"/>
    <w:rPr>
      <w:rFonts w:cs="Times New Roman"/>
    </w:rPr>
  </w:style>
  <w:style w:type="character" w:styleId="LineNumber">
    <w:name w:val="line number"/>
    <w:rPr>
      <w:sz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Times New Roman"/>
      <w:b/>
      <w:sz w:val="26"/>
    </w:rPr>
  </w:style>
  <w:style w:type="character" w:styleId="PlaceholderText">
    <w:name w:val="Placeholder Text"/>
    <w:qFormat/>
    <w:rPr>
      <w:color w:val="808080"/>
    </w:rPr>
  </w:style>
  <w:style w:type="character" w:styleId="Ruller4">
    <w:name w:val="Ruller4 תו"/>
    <w:qFormat/>
    <w:rPr>
      <w:rFonts w:ascii="Arial TUR" w:hAnsi="Arial TUR" w:cs="Arial TUR"/>
      <w:spacing w:val="10"/>
      <w:sz w:val="28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sz w:val="20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  <w:jc w:val="start"/>
    </w:pPr>
    <w:rPr/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0"/>
      <w:szCs w:val="28"/>
    </w:rPr>
  </w:style>
  <w:style w:type="paragraph" w:styleId="ruller40">
    <w:name w:val="ruller40"/>
    <w:basedOn w:val="Normal"/>
    <w:qFormat/>
    <w:pPr>
      <w:bidi w:val="0"/>
      <w:spacing w:before="280" w:after="280"/>
      <w:jc w:val="start"/>
    </w:pPr>
    <w:rPr>
      <w:rFonts w:ascii="Times New Roman" w:hAnsi="Times New Roman" w:eastAsia="David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974" TargetMode="External"/><Relationship Id="rId3" Type="http://schemas.openxmlformats.org/officeDocument/2006/relationships/hyperlink" Target="http://www.nevo.co.il/safrut/book/974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40.a" TargetMode="External"/><Relationship Id="rId7" Type="http://schemas.openxmlformats.org/officeDocument/2006/relationships/hyperlink" Target="http://www.nevo.co.il/law/70301/340a" TargetMode="External"/><Relationship Id="rId8" Type="http://schemas.openxmlformats.org/officeDocument/2006/relationships/hyperlink" Target="http://www.nevo.co.il/law/70301/340a.a" TargetMode="External"/><Relationship Id="rId9" Type="http://schemas.openxmlformats.org/officeDocument/2006/relationships/hyperlink" Target="http://www.nevo.co.il/law/70301/340a.b.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40a.a" TargetMode="External"/><Relationship Id="rId13" Type="http://schemas.openxmlformats.org/officeDocument/2006/relationships/hyperlink" Target="http://www.nevo.co.il/case/28268880" TargetMode="External"/><Relationship Id="rId14" Type="http://schemas.openxmlformats.org/officeDocument/2006/relationships/hyperlink" Target="http://www.nevo.co.il/case/28513828" TargetMode="External"/><Relationship Id="rId15" Type="http://schemas.openxmlformats.org/officeDocument/2006/relationships/hyperlink" Target="http://www.nevo.co.il/case/27894608" TargetMode="External"/><Relationship Id="rId16" Type="http://schemas.openxmlformats.org/officeDocument/2006/relationships/hyperlink" Target="http://www.nevo.co.il/case/27911638" TargetMode="External"/><Relationship Id="rId17" Type="http://schemas.openxmlformats.org/officeDocument/2006/relationships/hyperlink" Target="http://www.nevo.co.il/case/28152132" TargetMode="External"/><Relationship Id="rId18" Type="http://schemas.openxmlformats.org/officeDocument/2006/relationships/hyperlink" Target="http://www.nevo.co.il/case/28452933" TargetMode="External"/><Relationship Id="rId19" Type="http://schemas.openxmlformats.org/officeDocument/2006/relationships/hyperlink" Target="http://www.nevo.co.il/case/27305799" TargetMode="External"/><Relationship Id="rId20" Type="http://schemas.openxmlformats.org/officeDocument/2006/relationships/hyperlink" Target="http://www.nevo.co.il/case/28660017" TargetMode="External"/><Relationship Id="rId21" Type="http://schemas.openxmlformats.org/officeDocument/2006/relationships/hyperlink" Target="http://www.nevo.co.il/law/70301/340a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7697292" TargetMode="External"/><Relationship Id="rId24" Type="http://schemas.openxmlformats.org/officeDocument/2006/relationships/hyperlink" Target="http://www.nevo.co.il/case/22242436" TargetMode="External"/><Relationship Id="rId25" Type="http://schemas.openxmlformats.org/officeDocument/2006/relationships/hyperlink" Target="http://www.nevo.co.il/case/28096675" TargetMode="External"/><Relationship Id="rId26" Type="http://schemas.openxmlformats.org/officeDocument/2006/relationships/hyperlink" Target="http://www.nevo.co.il/law/70301/340a.b.1" TargetMode="External"/><Relationship Id="rId27" Type="http://schemas.openxmlformats.org/officeDocument/2006/relationships/hyperlink" Target="http://www.nevo.co.il/case/27603872" TargetMode="External"/><Relationship Id="rId28" Type="http://schemas.openxmlformats.org/officeDocument/2006/relationships/hyperlink" Target="http://www.nevo.co.il/case/27915710" TargetMode="External"/><Relationship Id="rId29" Type="http://schemas.openxmlformats.org/officeDocument/2006/relationships/hyperlink" Target="http://www.nevo.co.il/safrut/book/974" TargetMode="External"/><Relationship Id="rId30" Type="http://schemas.openxmlformats.org/officeDocument/2006/relationships/hyperlink" Target="http://www.nevo.co.il/case/27404359" TargetMode="External"/><Relationship Id="rId31" Type="http://schemas.openxmlformats.org/officeDocument/2006/relationships/hyperlink" Target="http://www.nevo.co.il/law/70301/340.a" TargetMode="External"/><Relationship Id="rId32" Type="http://schemas.openxmlformats.org/officeDocument/2006/relationships/hyperlink" Target="http://www.nevo.co.il/case/26492590" TargetMode="External"/><Relationship Id="rId33" Type="http://schemas.openxmlformats.org/officeDocument/2006/relationships/hyperlink" Target="http://www.nevo.co.il/case/28660017" TargetMode="External"/><Relationship Id="rId34" Type="http://schemas.openxmlformats.org/officeDocument/2006/relationships/hyperlink" Target="http://www.nevo.co.il/case/28096677" TargetMode="External"/><Relationship Id="rId35" Type="http://schemas.openxmlformats.org/officeDocument/2006/relationships/hyperlink" Target="http://www.nevo.co.il/case/28152125" TargetMode="External"/><Relationship Id="rId36" Type="http://schemas.openxmlformats.org/officeDocument/2006/relationships/hyperlink" Target="http://www.nevo.co.il/case/28384638" TargetMode="External"/><Relationship Id="rId37" Type="http://schemas.openxmlformats.org/officeDocument/2006/relationships/hyperlink" Target="http://www.nevo.co.il/case/28883087" TargetMode="External"/><Relationship Id="rId38" Type="http://schemas.openxmlformats.org/officeDocument/2006/relationships/hyperlink" Target="http://www.nevo.co.il/case/27911655" TargetMode="External"/><Relationship Id="rId39" Type="http://schemas.openxmlformats.org/officeDocument/2006/relationships/hyperlink" Target="http://www.nevo.co.il/case/28380863" TargetMode="External"/><Relationship Id="rId40" Type="http://schemas.openxmlformats.org/officeDocument/2006/relationships/hyperlink" Target="http://www.nevo.co.il/case/7791493" TargetMode="External"/><Relationship Id="rId41" Type="http://schemas.openxmlformats.org/officeDocument/2006/relationships/hyperlink" Target="http://www.nevo.co.il/case/5578534" TargetMode="External"/><Relationship Id="rId42" Type="http://schemas.openxmlformats.org/officeDocument/2006/relationships/hyperlink" Target="http://www.nevo.co.il/case/20685827" TargetMode="External"/><Relationship Id="rId43" Type="http://schemas.openxmlformats.org/officeDocument/2006/relationships/hyperlink" Target="http://www.nevo.co.il/case/26268834" TargetMode="External"/><Relationship Id="rId44" Type="http://schemas.openxmlformats.org/officeDocument/2006/relationships/hyperlink" Target="http://www.nevo.co.il/advertisements/nevo-100.doc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numbering" Target="numbering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2023-09-28T10:32:00Z</dcterms:created>
  <dc:creator> </dc:creator>
  <dc:description/>
  <cp:keywords/>
  <dc:language>en-IL</dc:language>
  <cp:lastModifiedBy>h1</cp:lastModifiedBy>
  <cp:lastPrinted>2022-09-28T10:36:00Z</cp:lastPrinted>
  <dcterms:modified xsi:type="dcterms:W3CDTF">2023-09-28T10:32:00Z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אשרף אחמד;אוסמה עיסא</vt:lpwstr>
  </property>
  <property fmtid="{D5CDD505-2E9C-101B-9397-08002B2CF9AE}" pid="4" name="BOOKLISTTMP1">
    <vt:lpwstr>974</vt:lpwstr>
  </property>
  <property fmtid="{D5CDD505-2E9C-101B-9397-08002B2CF9AE}" pid="5" name="CASESLISTTMP1">
    <vt:lpwstr>28268880;28513828;27894608;27911638;28152132;28452933;27305799;28660017:2;7697292;22242436;28096675;27603872;27915710;27404359;26492590;28096677;28152125;28384638;28883087;27911655;28380863;7791493;5578534;20685827;26268834</vt:lpwstr>
  </property>
  <property fmtid="{D5CDD505-2E9C-101B-9397-08002B2CF9AE}" pid="6" name="CITY">
    <vt:lpwstr>מרכז</vt:lpwstr>
  </property>
  <property fmtid="{D5CDD505-2E9C-101B-9397-08002B2CF9AE}" pid="7" name="DATE">
    <vt:lpwstr>20220928</vt:lpwstr>
  </property>
  <property fmtid="{D5CDD505-2E9C-101B-9397-08002B2CF9AE}" pid="8" name="ISABSTRACT">
    <vt:lpwstr>Y</vt:lpwstr>
  </property>
  <property fmtid="{D5CDD505-2E9C-101B-9397-08002B2CF9AE}" pid="9" name="JUDGE">
    <vt:lpwstr>מרב גרינברג</vt:lpwstr>
  </property>
  <property fmtid="{D5CDD505-2E9C-101B-9397-08002B2CF9AE}" pid="10" name="LAWLISTTMP1">
    <vt:lpwstr>70301/144.b;340a.a;340a;340a.b.1;340.a</vt:lpwstr>
  </property>
  <property fmtid="{D5CDD505-2E9C-101B-9397-08002B2CF9AE}" pid="11" name="LAWYER">
    <vt:lpwstr>טל שילוני;עומרי עיסא</vt:lpwstr>
  </property>
  <property fmtid="{D5CDD505-2E9C-101B-9397-08002B2CF9AE}" pid="12" name="NEWPARTA">
    <vt:lpwstr>35431</vt:lpwstr>
  </property>
  <property fmtid="{D5CDD505-2E9C-101B-9397-08002B2CF9AE}" pid="13" name="NEWPARTB">
    <vt:lpwstr>03</vt:lpwstr>
  </property>
  <property fmtid="{D5CDD505-2E9C-101B-9397-08002B2CF9AE}" pid="14" name="NEWPARTC">
    <vt:lpwstr>21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390020220928</vt:lpwstr>
  </property>
  <property fmtid="{D5CDD505-2E9C-101B-9397-08002B2CF9AE}" pid="19" name="TYPE_N_DATE">
    <vt:lpwstr>39020220928</vt:lpwstr>
  </property>
  <property fmtid="{D5CDD505-2E9C-101B-9397-08002B2CF9AE}" pid="20" name="WORDNUMPAGES">
    <vt:lpwstr>8</vt:lpwstr>
  </property>
</Properties>
</file>