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35500-10-15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יחיה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449334/2015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ריאד אבו יחיה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שלי היאט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פאדי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חמדאן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ריאד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אבו יחיה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הובא 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BodyText"/>
        <w:spacing w:lineRule="exact" w:line="240" w:before="24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8"/>
          <w:szCs w:val="28"/>
        </w:rPr>
      </w:pPr>
      <w:r>
        <w:rPr>
          <w:rFonts w:eastAsia="David" w:cs="FrankRuehl" w:ascii="FrankRuehl" w:hAnsi="FrankRuehl"/>
          <w:b w:val="false"/>
          <w:bCs w:val="false"/>
          <w:sz w:val="28"/>
          <w:szCs w:val="28"/>
          <w:rtl w:val="true"/>
        </w:rPr>
      </w:r>
    </w:p>
    <w:p>
      <w:pPr>
        <w:pStyle w:val="BodyText"/>
        <w:spacing w:lineRule="exact" w:line="240" w:before="24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</w:rPr>
      </w:pPr>
      <w:r>
        <w:rPr>
          <w:rFonts w:ascii="FrankRuehl" w:hAnsi="FrankRuehl" w:eastAsia="David" w:cs="FrankRuehl"/>
          <w:b w:val="false"/>
          <w:b w:val="false"/>
          <w:bCs w:val="false"/>
          <w:rtl w:val="true"/>
        </w:rPr>
        <w:t>חקיקה שאוזכרה</w:t>
      </w:r>
      <w:r>
        <w:rPr>
          <w:rFonts w:eastAsia="David" w:cs="FrankRuehl" w:ascii="FrankRuehl" w:hAnsi="FrankRuehl"/>
          <w:b w:val="false"/>
          <w:bCs w:val="false"/>
          <w:rtl w:val="true"/>
        </w:rPr>
        <w:t xml:space="preserve">: </w:t>
      </w:r>
    </w:p>
    <w:p>
      <w:pPr>
        <w:pStyle w:val="BodyText"/>
        <w:spacing w:lineRule="exact" w:line="240" w:before="24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</w:rPr>
      </w:pPr>
      <w:hyperlink r:id="rId2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b w:val="false"/>
          <w:bCs w:val="fals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rtl w:val="true"/>
        </w:rPr>
        <w:t>סע</w:t>
      </w:r>
      <w:r>
        <w:rPr>
          <w:rFonts w:eastAsia="David" w:cs="FrankRuehl" w:ascii="FrankRuehl" w:hAnsi="FrankRuehl"/>
          <w:b w:val="false"/>
          <w:bCs w:val="false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</w:rPr>
          <w:t>287</w:t>
        </w:r>
      </w:hyperlink>
      <w:r>
        <w:rPr>
          <w:rFonts w:eastAsia="David" w:cs="FrankRuehl" w:ascii="FrankRuehl" w:hAnsi="FrankRuehl"/>
          <w:b w:val="false"/>
          <w:bCs w:val="false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</w:rPr>
          <w:t>413</w:t>
        </w:r>
      </w:hyperlink>
      <w:r>
        <w:rPr>
          <w:rFonts w:eastAsia="David" w:cs="FrankRuehl" w:ascii="FrankRuehl" w:hAnsi="FrankRuehl"/>
          <w:b w:val="false"/>
          <w:bCs w:val="false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u w:val="single"/>
          </w:rPr>
          <w:t>413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u w:val="single"/>
            <w:rtl w:val="true"/>
          </w:rPr>
          <w:t>ה</w:t>
        </w:r>
      </w:hyperlink>
    </w:p>
    <w:p>
      <w:pPr>
        <w:pStyle w:val="BodyText"/>
        <w:spacing w:lineRule="exact" w:line="240" w:before="24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</w:rPr>
      </w:pPr>
      <w:r>
        <w:rPr>
          <w:rFonts w:eastAsia="David" w:cs="FrankRuehl" w:ascii="FrankRuehl" w:hAnsi="FrankRuehl"/>
          <w:b w:val="false"/>
          <w:bCs w:val="fals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bookmarkStart w:id="7" w:name="PsakDin"/>
      <w:bookmarkStart w:id="8" w:name="ABSTRACT_START"/>
      <w:bookmarkEnd w:id="7"/>
      <w:bookmarkEnd w:id="8"/>
      <w:r>
        <w:rPr>
          <w:b w:val="false"/>
          <w:b w:val="false"/>
          <w:bCs w:val="false"/>
          <w:rtl w:val="true"/>
        </w:rPr>
        <w:t>במסגרת התיק הנוכחי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הנאשם הורשע על פי הודייתו בעבירה של חבלה במזיד ברכב לפי </w:t>
      </w:r>
      <w:hyperlink r:id="rId6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 w:val="false"/>
            <w:bCs w:val="false"/>
            <w:color w:val="0000FF"/>
            <w:u w:val="single"/>
          </w:rPr>
          <w:t>413</w:t>
        </w:r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ה</w:t>
        </w:r>
      </w:hyperlink>
      <w:r>
        <w:rPr>
          <w:b w:val="false"/>
          <w:b w:val="false"/>
          <w:bCs w:val="false"/>
          <w:rtl w:val="true"/>
        </w:rPr>
        <w:t xml:space="preserve"> ל</w:t>
      </w:r>
      <w:hyperlink r:id="rId7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העונשין</w:t>
        </w:r>
      </w:hyperlink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בנוסף בת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פ </w:t>
      </w:r>
      <w:r>
        <w:rPr>
          <w:b w:val="false"/>
          <w:bCs w:val="false"/>
        </w:rPr>
        <w:t>49591-02-14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הנאשם הורשע על פי הודאתו בכתב האישום המתוקן בעבירות הבאות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Cs w:val="false"/>
        </w:rPr>
        <w:t>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עבירות של הפרת הוראה חוקית לפיס עיף </w:t>
      </w:r>
      <w:r>
        <w:rPr>
          <w:b w:val="false"/>
          <w:bCs w:val="false"/>
        </w:rPr>
        <w:t>287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ל</w:t>
      </w:r>
      <w:hyperlink r:id="rId8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העונשין</w:t>
        </w:r>
      </w:hyperlink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להסדר טיעון הכולל הסכמה לעניין רכיבי הענישה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ההסדר הינו סביר ובכוונתי לכבדו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 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מעצר</w:t>
      </w:r>
      <w:r>
        <w:rPr>
          <w:rtl w:val="true"/>
        </w:rPr>
        <w:t xml:space="preserve">, </w:t>
      </w:r>
      <w:r>
        <w:rPr>
          <w:rtl w:val="true"/>
        </w:rPr>
        <w:t>שכבר בוצעו במסגרת שני התיקים שצוינו 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 מפעיל את המאסר המותנה של חודש ימים שהושת על הנאשם ע</w:t>
      </w:r>
      <w:r>
        <w:rPr>
          <w:rtl w:val="true"/>
        </w:rPr>
        <w:t>"</w:t>
      </w:r>
      <w:r>
        <w:rPr>
          <w:rtl w:val="true"/>
        </w:rPr>
        <w:t>י בימ</w:t>
      </w:r>
      <w:r>
        <w:rPr>
          <w:rtl w:val="true"/>
        </w:rPr>
        <w:t>"</w:t>
      </w:r>
      <w:r>
        <w:rPr>
          <w:rtl w:val="true"/>
        </w:rPr>
        <w:t xml:space="preserve">ש לנוער ברמלה מיום </w:t>
      </w:r>
      <w:r>
        <w:rPr/>
        <w:t>1.3.16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51681-10-13</w:t>
        </w:r>
      </w:hyperlink>
      <w:r>
        <w:rPr>
          <w:rtl w:val="true"/>
        </w:rPr>
        <w:t xml:space="preserve">, </w:t>
      </w:r>
      <w:r>
        <w:rPr>
          <w:rtl w:val="true"/>
        </w:rPr>
        <w:t>וזאת בחופף לעונש המאסר שצוין 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ירצה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 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לא יבצע עבירת רכוש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עבירה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לא יבצע 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פיצוי בסך  </w:t>
      </w:r>
      <w:r>
        <w:rPr/>
        <w:t>500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הפיצוי ישולם 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חודשים שווים ורצופים כאשר הראשון שבהם עד ליום   </w:t>
      </w:r>
      <w:r>
        <w:rPr/>
        <w:t>1.1.18</w:t>
      </w:r>
      <w:r>
        <w:rPr>
          <w:rtl w:val="true"/>
        </w:rPr>
        <w:t xml:space="preserve"> </w:t>
      </w:r>
      <w:r>
        <w:rPr>
          <w:rtl w:val="true"/>
        </w:rPr>
        <w:t xml:space="preserve">והשני עד ליום </w:t>
      </w:r>
      <w:r>
        <w:rPr/>
        <w:t>1.2.18</w:t>
      </w:r>
      <w:r>
        <w:rPr>
          <w:rtl w:val="true"/>
        </w:rPr>
        <w:t xml:space="preserve">. </w:t>
      </w:r>
      <w:r>
        <w:rPr>
          <w:rtl w:val="true"/>
        </w:rPr>
        <w:t>היה והתשלום הראשון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הפיצוי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הנאשם ישלם קנס בסך  </w:t>
      </w:r>
      <w:r>
        <w:rPr/>
        <w:t>500</w:t>
      </w:r>
      <w:r>
        <w:rPr>
          <w:rtl w:val="true"/>
        </w:rPr>
        <w:t xml:space="preserve"> ₪ , </w:t>
      </w:r>
      <w:r>
        <w:rPr>
          <w:rtl w:val="true"/>
        </w:rPr>
        <w:t xml:space="preserve">או </w:t>
      </w:r>
      <w:r>
        <w:rPr/>
        <w:t>2</w:t>
      </w:r>
      <w:r>
        <w:rPr>
          <w:rtl w:val="true"/>
        </w:rPr>
        <w:t xml:space="preserve">  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חודשים שווים ורצופים כאשר הראשון שבהם עד ליום   </w:t>
      </w:r>
      <w:r>
        <w:rPr/>
        <w:t>1.3.18</w:t>
      </w:r>
      <w:r>
        <w:rPr>
          <w:rtl w:val="true"/>
        </w:rPr>
        <w:t xml:space="preserve"> </w:t>
      </w:r>
      <w:r>
        <w:rPr>
          <w:rtl w:val="true"/>
        </w:rPr>
        <w:t xml:space="preserve">והשני עד ליום </w:t>
      </w:r>
      <w:r>
        <w:rPr/>
        <w:t>1.4.18</w:t>
      </w:r>
      <w:r>
        <w:rPr>
          <w:rtl w:val="true"/>
        </w:rPr>
        <w:t xml:space="preserve">. </w:t>
      </w:r>
      <w:r>
        <w:rPr>
          <w:rtl w:val="true"/>
        </w:rPr>
        <w:t>היה והתשלום הראשון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08/11/2017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35500-10-15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ישראל 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ריאד אבו יחיה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David" w:hAnsi="David" w:eastAsia="David" w:cs="David"/>
      <w:sz w:val="24"/>
      <w:szCs w:val="24"/>
    </w:rPr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ascii="Times New Roman" w:hAnsi="Times New Roman" w:eastAsia="Times New Roman" w:cs="David"/>
      <w:b/>
      <w:bCs/>
      <w:sz w:val="24"/>
      <w:szCs w:val="24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87" TargetMode="External"/><Relationship Id="rId4" Type="http://schemas.openxmlformats.org/officeDocument/2006/relationships/hyperlink" Target="http://www.nevo.co.il/law/70301/413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8463679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8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2018-01-08T13:48:00Z</dcterms:created>
  <dc:creator> </dc:creator>
  <dc:description/>
  <cp:keywords/>
  <dc:language>en-IL</dc:language>
  <cp:lastModifiedBy>run</cp:lastModifiedBy>
  <dcterms:modified xsi:type="dcterms:W3CDTF">2018-01-08T13:48:00Z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ריאד אבו יחיה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ProcID=209&amp;PartA=49591&amp;PartB=02&amp;PartC=14</vt:lpwstr>
  </property>
  <property fmtid="{D5CDD505-2E9C-101B-9397-08002B2CF9AE}" pid="9" name="CASESLISTTMP1">
    <vt:lpwstr>8463679</vt:lpwstr>
  </property>
  <property fmtid="{D5CDD505-2E9C-101B-9397-08002B2CF9AE}" pid="10" name="CITY">
    <vt:lpwstr>רמ'</vt:lpwstr>
  </property>
  <property fmtid="{D5CDD505-2E9C-101B-9397-08002B2CF9AE}" pid="11" name="DATE">
    <vt:lpwstr>20171108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70301/413e;413;287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35500</vt:lpwstr>
  </property>
  <property fmtid="{D5CDD505-2E9C-101B-9397-08002B2CF9AE}" pid="23" name="NEWPARTB">
    <vt:lpwstr>10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380020171108</vt:lpwstr>
  </property>
  <property fmtid="{D5CDD505-2E9C-101B-9397-08002B2CF9AE}" pid="35" name="TYPE_N_DATE">
    <vt:lpwstr>38020171108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