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85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השופט דניאל טפרברג 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35512-06-17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בכיראת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אפרת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פילזר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קעקאע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בכירא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מתנהל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עביס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</w:p>
    <w:p>
      <w:pPr>
        <w:pStyle w:val="Normal"/>
        <w:ind w:end="0"/>
        <w:jc w:val="center"/>
        <w:rPr>
          <w:rFonts w:ascii="Arial" w:hAnsi="Arial" w:cs="FrankRuehl"/>
          <w:sz w:val="26"/>
          <w:szCs w:val="26"/>
        </w:rPr>
      </w:pPr>
      <w:bookmarkStart w:id="5" w:name="PsakDin"/>
      <w:bookmarkStart w:id="6" w:name="LawTable_End"/>
      <w:bookmarkEnd w:id="5"/>
      <w:bookmarkEnd w:id="6"/>
      <w:r>
        <w:rPr>
          <w:rFonts w:ascii="FrankRuehl" w:hAnsi="FrankRuehl" w:cs="FrankRuehl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גזר דין</w:t>
      </w:r>
      <w:r>
        <w:rPr>
          <w:rFonts w:ascii="FrankRuehl" w:hAnsi="FrankRuehl" w:cs="FrankRuehl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 </w:t>
      </w:r>
      <w:r>
        <w:rPr>
          <w:rFonts w:cs="FrankRuehl" w:ascii="FrankRuehl" w:hAnsi="FrankRuehl"/>
          <w:color w:val="000000"/>
          <w:sz w:val="26"/>
          <w:szCs w:val="26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6"/>
          <w:sz w:val="26"/>
          <w:szCs w:val="26"/>
          <w:shd w:fill="FFFFFF" w:val="clear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6"/>
          <w:szCs w:val="26"/>
          <w:shd w:fill="FFFFFF" w:val="clear"/>
        </w:rPr>
        <w:t>2</w:t>
      </w:r>
      <w:r>
        <w:rPr>
          <w:rFonts w:cs="FrankRuehl" w:ascii="FrankRuehl" w:hAnsi="FrankRuehl"/>
          <w:color w:val="000000"/>
          <w:sz w:val="26"/>
          <w:szCs w:val="26"/>
          <w:shd w:fill="FFFFFF" w:val="clear"/>
          <w:rtl w:val="true"/>
        </w:rPr>
        <w:t>)</w:t>
      </w:r>
    </w:p>
    <w:p>
      <w:pPr>
        <w:pStyle w:val="Normal"/>
        <w:spacing w:lineRule="auto" w:line="360" w:before="120" w:after="120"/>
        <w:ind w:end="0"/>
        <w:jc w:val="both"/>
        <w:rPr/>
      </w:pPr>
      <w:bookmarkStart w:id="7" w:name="PsakDin"/>
      <w:bookmarkStart w:id="8" w:name="ABSTRACT_START"/>
      <w:bookmarkEnd w:id="7"/>
      <w:bookmarkEnd w:id="8"/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תשל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ז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1977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העונשין</w:t>
      </w:r>
      <w:r>
        <w:rPr>
          <w:rFonts w:cs="FrankRuehl"/>
          <w:sz w:val="26"/>
          <w:szCs w:val="26"/>
          <w:rtl w:val="true"/>
        </w:rPr>
        <w:t>).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8.5.2017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M16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מאולתר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סלעה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מוכאבר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הספר</w:t>
      </w:r>
      <w:r>
        <w:rPr>
          <w:rFonts w:cs="FrankRuehl"/>
          <w:sz w:val="26"/>
          <w:szCs w:val="26"/>
          <w:rtl w:val="true"/>
        </w:rPr>
        <w:t xml:space="preserve">).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איאד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מקרקעין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שפרטיה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רלוונטיים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לענייננו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bookmarkStart w:id="9" w:name="ABSTRACT_END"/>
      <w:bookmarkEnd w:id="9"/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שאירע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8.5.2017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סטאר</w:t>
      </w:r>
      <w:r>
        <w:rPr>
          <w:rFonts w:cs="FrankRuehl"/>
          <w:sz w:val="26"/>
          <w:szCs w:val="26"/>
          <w:rtl w:val="true"/>
        </w:rPr>
        <w:t xml:space="preserve">", </w:t>
      </w:r>
      <w:r>
        <w:rPr>
          <w:rFonts w:cs="FrankRuehl"/>
          <w:sz w:val="26"/>
          <w:sz w:val="26"/>
          <w:szCs w:val="26"/>
          <w:rtl w:val="true"/>
        </w:rPr>
        <w:t>כשהאקדח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עטוף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ובשקית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שונות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להחזקתו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המבחן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10.12.2018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נשוי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ילדים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לפרנסתו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בהתקנת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תשתיות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תקשורת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הרובה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האקדח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ואימפולסיביים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פגוע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להשתלבות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ומעמיק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דבר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שנה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לעונש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2008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לישראל</w:t>
        </w:r>
      </w:hyperlink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ציבור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תפקידו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נלווית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FrankRuehl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120" w:after="120"/>
        <w:ind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מומחה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M16</w:t>
      </w:r>
      <w:r>
        <w:rPr>
          <w:rFonts w:cs="FrankRuehl"/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במפורש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 w:val="26"/>
          <w:szCs w:val="26"/>
          <w:rtl w:val="true"/>
        </w:rPr>
        <w:t>ט</w:t>
      </w:r>
      <w:r>
        <w:rPr>
          <w:rFonts w:cs="FrankRuehl"/>
          <w:sz w:val="26"/>
          <w:szCs w:val="26"/>
          <w:rtl w:val="true"/>
        </w:rPr>
        <w:t>.).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center"/>
        <w:rPr>
          <w:bCs/>
          <w:sz w:val="26"/>
          <w:szCs w:val="26"/>
        </w:rPr>
      </w:pPr>
      <w:r>
        <w:rPr>
          <w:rFonts w:cs="FrankRuehl"/>
          <w:bCs/>
          <w:sz w:val="26"/>
          <w:sz w:val="26"/>
          <w:szCs w:val="26"/>
          <w:rtl w:val="true"/>
        </w:rPr>
        <w:t>בנוסף</w:t>
      </w:r>
      <w:r>
        <w:rPr>
          <w:rFonts w:cs="FrankRuehl"/>
          <w:bCs/>
          <w:sz w:val="26"/>
          <w:szCs w:val="26"/>
          <w:rtl w:val="true"/>
        </w:rPr>
        <w:t xml:space="preserve">, </w:t>
      </w:r>
      <w:r>
        <w:rPr>
          <w:rFonts w:cs="FrankRuehl"/>
          <w:bCs/>
          <w:sz w:val="26"/>
          <w:sz w:val="26"/>
          <w:szCs w:val="26"/>
          <w:rtl w:val="true"/>
        </w:rPr>
        <w:t>מטעם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העיד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מר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עיסאם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ג</w:t>
      </w:r>
      <w:r>
        <w:rPr>
          <w:rFonts w:cs="FrankRuehl"/>
          <w:bCs/>
          <w:sz w:val="26"/>
          <w:szCs w:val="26"/>
          <w:rtl w:val="true"/>
        </w:rPr>
        <w:t>'</w:t>
      </w:r>
      <w:r>
        <w:rPr>
          <w:rFonts w:cs="FrankRuehl"/>
          <w:bCs/>
          <w:sz w:val="26"/>
          <w:sz w:val="26"/>
          <w:szCs w:val="26"/>
          <w:rtl w:val="true"/>
        </w:rPr>
        <w:t>עביס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  </w:t>
      </w:r>
      <w:r>
        <w:rPr>
          <w:rFonts w:cs="FrankRuehl"/>
          <w:bCs/>
          <w:sz w:val="26"/>
          <w:sz w:val="26"/>
          <w:szCs w:val="26"/>
          <w:rtl w:val="true"/>
        </w:rPr>
        <w:t>אביו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הנאשם</w:t>
      </w:r>
      <w:r>
        <w:rPr>
          <w:rFonts w:cs="FrankRuehl"/>
          <w:bCs/>
          <w:sz w:val="26"/>
          <w:szCs w:val="26"/>
          <w:rtl w:val="true"/>
        </w:rPr>
        <w:t xml:space="preserve">, </w:t>
      </w:r>
      <w:r>
        <w:rPr>
          <w:rFonts w:cs="FrankRuehl"/>
          <w:bCs/>
          <w:sz w:val="26"/>
          <w:sz w:val="26"/>
          <w:szCs w:val="26"/>
          <w:rtl w:val="true"/>
        </w:rPr>
        <w:t>שסיפר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מסתייג</w:t>
      </w:r>
      <w:r>
        <w:rPr>
          <w:rFonts w:cs="Times New Roman"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Cs/>
          <w:sz w:val="26"/>
          <w:sz w:val="26"/>
          <w:szCs w:val="26"/>
          <w:rtl w:val="true"/>
        </w:rPr>
        <w:t>נחרצות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מהמעשים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עביס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בסרטן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2000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אחות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מייסון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עביס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חולה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בלוקמיה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מאוד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עביס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שיפוץ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רג</w:t>
      </w:r>
      <w:r>
        <w:rPr>
          <w:rFonts w:cs="FrankRuehl"/>
          <w:sz w:val="26"/>
          <w:szCs w:val="26"/>
          <w:rtl w:val="true"/>
        </w:rPr>
        <w:t>'</w:t>
      </w:r>
      <w:r>
        <w:rPr>
          <w:rFonts w:cs="FrankRuehl"/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במיוחד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Heading1"/>
        <w:spacing w:before="120" w:after="60"/>
        <w:ind w:hanging="0" w:start="0" w:end="0"/>
        <w:jc w:val="start"/>
        <w:rPr>
          <w:rFonts w:cs="FrankRuehl"/>
          <w:b w:val="false"/>
          <w:bCs w:val="false"/>
          <w:sz w:val="26"/>
          <w:szCs w:val="26"/>
          <w:u w:val="single"/>
        </w:rPr>
      </w:pPr>
      <w:r>
        <w:rPr>
          <w:rFonts w:cs="FrankRuehl"/>
          <w:sz w:val="26"/>
          <w:sz w:val="26"/>
          <w:szCs w:val="26"/>
          <w:u w:val="single"/>
          <w:rtl w:val="true"/>
        </w:rPr>
        <w:t>טיעוני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המאשימה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הציבור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זמינות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המתגלגלים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ברחובות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אסון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הוסלקו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ספר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צעירים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הנוהגת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9373/10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ותד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בנבו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14.9.2011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 xml:space="preserve">: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ותד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וכדורים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2822/12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דואהרי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בנבו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25.4.2012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אקדח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הכוללות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כדורים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במצטבר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לגישתה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דבר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2.5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נלווית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המתחם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למקמו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התחתון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לשיקומו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נוספות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הוזכר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FrankRuehl"/>
          <w:sz w:val="26"/>
          <w:szCs w:val="26"/>
          <w:rtl w:val="true"/>
        </w:rPr>
        <w:t>-"</w:t>
      </w:r>
      <w:r>
        <w:rPr>
          <w:rFonts w:cs="FrankRuehl"/>
          <w:sz w:val="26"/>
          <w:sz w:val="26"/>
          <w:szCs w:val="26"/>
          <w:rtl w:val="true"/>
        </w:rPr>
        <w:t>פיקדון</w:t>
      </w:r>
      <w:r>
        <w:rPr>
          <w:rFonts w:cs="FrankRuehl"/>
          <w:sz w:val="26"/>
          <w:szCs w:val="26"/>
          <w:rtl w:val="true"/>
        </w:rPr>
        <w:t>".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הודגש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חוזרות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איאד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חבלניות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עליו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דנן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בהרבה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שנתפס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רלוונטיות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לענייננו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הוזכר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במשטרה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הנהוגה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26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ושישה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יצוין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כעת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ולהפנותו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חד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ספרתי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לענייננו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תלמוד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סנהדרין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FrankRuehl"/>
          <w:sz w:val="26"/>
          <w:szCs w:val="26"/>
          <w:rtl w:val="true"/>
        </w:rPr>
        <w:t>').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היתר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1505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לידאוי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כדורים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והעמידו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בעפ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זיאד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גוסטב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כדורים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דבר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 w:val="26"/>
          <w:szCs w:val="26"/>
          <w:rtl w:val="true"/>
        </w:rPr>
        <w:t>הודאת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 w:val="26"/>
          <w:szCs w:val="26"/>
          <w:rtl w:val="true"/>
        </w:rPr>
        <w:t>ומדיניות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הנהוגה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נלווית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בנצלו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האחרונה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ההרה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Heading1"/>
        <w:spacing w:before="120" w:after="60"/>
        <w:ind w:hanging="0" w:start="0" w:end="0"/>
        <w:jc w:val="start"/>
        <w:rPr>
          <w:rFonts w:cs="FrankRuehl"/>
          <w:sz w:val="26"/>
          <w:szCs w:val="26"/>
          <w:u w:val="single"/>
        </w:rPr>
      </w:pPr>
      <w:r>
        <w:rPr>
          <w:rFonts w:cs="FrankRuehl"/>
          <w:sz w:val="26"/>
          <w:sz w:val="26"/>
          <w:szCs w:val="26"/>
          <w:u w:val="single"/>
          <w:rtl w:val="true"/>
        </w:rPr>
        <w:t>דיון</w:t>
      </w:r>
      <w:r>
        <w:rPr>
          <w:rFonts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 w:before="0" w:after="120"/>
        <w:ind w:end="0"/>
        <w:jc w:val="both"/>
        <w:rPr/>
      </w:pPr>
      <w:hyperlink r:id="rId16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סימן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מנחה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המבטא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חומרת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בנסיבותיו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אשמו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סוג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עליו</w:t>
      </w:r>
      <w:r>
        <w:rPr>
          <w:rFonts w:cs="FrankRuehl" w:ascii="David" w:hAnsi="David"/>
          <w:sz w:val="26"/>
          <w:szCs w:val="26"/>
          <w:rtl w:val="true"/>
        </w:rPr>
        <w:t>" (</w:t>
      </w:r>
      <w:hyperlink r:id="rId1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לשם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כך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'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cs="FrankRuehl" w:ascii="David" w:hAnsi="David"/>
          <w:sz w:val="26"/>
          <w:szCs w:val="26"/>
          <w:rtl w:val="true"/>
        </w:rPr>
        <w:t xml:space="preserve">', </w:t>
      </w:r>
      <w:r>
        <w:rPr>
          <w:rFonts w:ascii="David" w:hAnsi="David" w:cs="FrankRuehl"/>
          <w:sz w:val="26"/>
          <w:sz w:val="26"/>
          <w:szCs w:val="26"/>
          <w:rtl w:val="true"/>
        </w:rPr>
        <w:t>המבוסס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cs="FrankRuehl" w:ascii="David" w:hAnsi="David"/>
          <w:sz w:val="26"/>
          <w:szCs w:val="26"/>
          <w:rtl w:val="true"/>
        </w:rPr>
        <w:t>: (</w:t>
      </w:r>
      <w:r>
        <w:rPr>
          <w:rFonts w:cs="FrankRuehl" w:ascii="David" w:hAnsi="David"/>
          <w:sz w:val="26"/>
          <w:szCs w:val="26"/>
        </w:rPr>
        <w:t>1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הערך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שנפגע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2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מידת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3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הנהוגה</w:t>
      </w:r>
      <w:r>
        <w:rPr>
          <w:rFonts w:cs="FrankRuehl" w:ascii="David" w:hAnsi="David"/>
          <w:sz w:val="26"/>
          <w:szCs w:val="26"/>
          <w:rtl w:val="true"/>
        </w:rPr>
        <w:t>; (</w:t>
      </w:r>
      <w:r>
        <w:rPr>
          <w:rFonts w:cs="FrankRuehl" w:ascii="David" w:hAnsi="David"/>
          <w:sz w:val="26"/>
          <w:szCs w:val="26"/>
        </w:rPr>
        <w:t>4</w:t>
      </w:r>
      <w:r>
        <w:rPr>
          <w:rFonts w:cs="FrankRuehl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1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בשלב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הבא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19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כשמדובר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בריבוי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בהתאם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"</w:t>
      </w:r>
      <w:r>
        <w:rPr>
          <w:rFonts w:ascii="David" w:hAnsi="David" w:cs="FrankRuehl"/>
          <w:sz w:val="26"/>
          <w:sz w:val="26"/>
          <w:szCs w:val="26"/>
          <w:rtl w:val="true"/>
        </w:rPr>
        <w:t>הקשר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ההדוק</w:t>
      </w:r>
      <w:r>
        <w:rPr>
          <w:rFonts w:cs="FrankRuehl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sz w:val="26"/>
          <w:sz w:val="26"/>
          <w:szCs w:val="26"/>
          <w:rtl w:val="true"/>
        </w:rPr>
        <w:t>שהתפתח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בפסיקה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21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4910/13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29.10.2014</w:t>
      </w:r>
      <w:r>
        <w:rPr>
          <w:rFonts w:cs="FrankRuehl" w:ascii="David" w:hAnsi="David"/>
          <w:sz w:val="26"/>
          <w:szCs w:val="26"/>
          <w:rtl w:val="true"/>
        </w:rPr>
        <w:t xml:space="preserve">); </w:t>
      </w:r>
      <w:hyperlink r:id="rId22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1127/13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גברזגיי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15.1.2014</w:t>
      </w:r>
      <w:r>
        <w:rPr>
          <w:rFonts w:cs="FrankRuehl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FrankRuehl"/>
          <w:sz w:val="26"/>
          <w:sz w:val="26"/>
          <w:szCs w:val="26"/>
          <w:rtl w:val="true"/>
        </w:rPr>
        <w:t>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יקבע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ויגזור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כמוסכם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מהוות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ייקבע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לשתי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בנשק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טומנות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בחובן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וברכוש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בביטחון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אזרחים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תמימים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העלולים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להיקלע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למצבים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ייעשה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שימוש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בנשק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הנפגעים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ביטחון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הציבור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ושלטון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החוק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בעומדה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חומרת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מושא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ענייננו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ציינה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השופטת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ארבל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Style13"/>
        <w:spacing w:before="120" w:after="120"/>
        <w:ind w:end="1134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עמד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החומרה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היתרה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הנודעת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לעבירות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ולעבירת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החזקת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כדין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בפרט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המקימה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ממשי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וחמור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לציבור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ויוצרת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פוטנציאל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להסלמה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עבריינית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ולפיכך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מחייבת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ליתן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ביטוי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הולם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ומרתיע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באמצעות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הרחקת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מבצעי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לתקופת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ממשית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לריצוי</w:t>
      </w:r>
      <w:r>
        <w:rPr>
          <w:rFonts w:eastAsia="David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6"/>
          <w:szCs w:val="26"/>
          <w:rtl w:val="true"/>
        </w:rPr>
        <w:t>(</w:t>
      </w:r>
      <w:hyperlink r:id="rId23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Cs w:val="fals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David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6"/>
            <w:szCs w:val="26"/>
            <w:u w:val="single"/>
          </w:rPr>
          <w:t>5120/11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שתיווי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6"/>
          <w:szCs w:val="26"/>
          <w:rtl w:val="true"/>
        </w:rPr>
        <w:t>(</w:t>
      </w:r>
      <w:r>
        <w:rPr>
          <w:rFonts w:cs="FrankRuehl"/>
          <w:b w:val="false"/>
          <w:b w:val="false"/>
          <w:bCs w:val="false"/>
          <w:sz w:val="26"/>
          <w:sz w:val="26"/>
          <w:szCs w:val="26"/>
          <w:rtl w:val="true"/>
        </w:rPr>
        <w:t>פורסם</w:t>
      </w:r>
      <w:r>
        <w:rPr>
          <w:rFonts w:eastAsia="David"/>
          <w:b w:val="false"/>
          <w:b w:val="false"/>
          <w:bCs w:val="false"/>
          <w:sz w:val="26"/>
          <w:sz w:val="26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6"/>
          <w:sz w:val="26"/>
          <w:szCs w:val="26"/>
          <w:rtl w:val="true"/>
        </w:rPr>
        <w:t>בנבו</w:t>
      </w:r>
      <w:r>
        <w:rPr>
          <w:rFonts w:cs="FrankRuehl"/>
          <w:b w:val="false"/>
          <w:bCs w:val="false"/>
          <w:sz w:val="26"/>
          <w:szCs w:val="26"/>
          <w:rtl w:val="true"/>
        </w:rPr>
        <w:t xml:space="preserve">, </w:t>
      </w:r>
      <w:r>
        <w:rPr>
          <w:rFonts w:cs="FrankRuehl"/>
          <w:b w:val="false"/>
          <w:bCs w:val="false"/>
          <w:sz w:val="26"/>
          <w:szCs w:val="26"/>
        </w:rPr>
        <w:t>18.12.2011</w:t>
      </w:r>
      <w:r>
        <w:rPr>
          <w:rFonts w:cs="FrankRuehl"/>
          <w:b w:val="false"/>
          <w:bCs w:val="false"/>
          <w:sz w:val="26"/>
          <w:szCs w:val="26"/>
          <w:rtl w:val="true"/>
        </w:rPr>
        <w:t>)).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ובעניין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השופט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א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לוי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Style13"/>
        <w:spacing w:before="120" w:after="120"/>
        <w:ind w:end="1134"/>
        <w:jc w:val="both"/>
        <w:rPr/>
      </w:pP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ניסיון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השנים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האחרונות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מלמד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שנשק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המוחזק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כדין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מוצא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דרכו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לעתים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עוינות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ולעתים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נעשה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למטרות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ואלה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כבר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גרמו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לאובדן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אדם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ולפגיעה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בחפים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מפשע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חטאם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נבע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מכך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נקלעו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בדרך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לזירת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הפשע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כדי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להילחם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צריך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לבטא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סלידתה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ודעתה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הנחרצת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להשלים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עבריינות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ומסוג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בפרט</w:t>
      </w:r>
      <w:r>
        <w:rPr>
          <w:rFonts w:cs="FrankRuehl"/>
          <w:b w:val="false"/>
          <w:bCs w:val="false"/>
          <w:sz w:val="26"/>
          <w:szCs w:val="26"/>
          <w:rtl w:val="true"/>
        </w:rPr>
        <w:t>"</w:t>
      </w:r>
      <w:r>
        <w:rPr>
          <w:rFonts w:cs="FrankRuehl"/>
          <w:b w:val="false"/>
          <w:bCs w:val="false"/>
          <w:sz w:val="26"/>
          <w:szCs w:val="26"/>
          <w:rtl w:val="true"/>
        </w:rPr>
        <w:t xml:space="preserve"> (</w:t>
      </w:r>
      <w:hyperlink r:id="rId24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Cs w:val="fals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David"/>
            <w:b w:val="false"/>
            <w:b w:val="false"/>
            <w:bCs w:val="fals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6"/>
            <w:szCs w:val="26"/>
            <w:u w:val="single"/>
          </w:rPr>
          <w:t>761/07</w:t>
        </w:r>
      </w:hyperlink>
      <w:r>
        <w:rPr>
          <w:rFonts w:cs="FrankRuehl"/>
          <w:b w:val="false"/>
          <w:bCs w:val="false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מדינת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</w:t>
      </w:r>
      <w:r>
        <w:rPr>
          <w:rFonts w:cs="FrankRuehl"/>
          <w:sz w:val="26"/>
          <w:szCs w:val="26"/>
          <w:rtl w:val="true"/>
        </w:rPr>
        <w:t xml:space="preserve">' </w:t>
      </w:r>
      <w:r>
        <w:rPr>
          <w:rFonts w:cs="FrankRuehl"/>
          <w:sz w:val="26"/>
          <w:sz w:val="26"/>
          <w:szCs w:val="26"/>
          <w:rtl w:val="true"/>
        </w:rPr>
        <w:t>אדרי</w:t>
      </w:r>
      <w:r>
        <w:rPr>
          <w:rFonts w:eastAsia="David"/>
          <w:b w:val="false"/>
          <w:b w:val="false"/>
          <w:bCs w:val="false"/>
          <w:sz w:val="26"/>
          <w:sz w:val="26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 w:val="26"/>
          <w:szCs w:val="26"/>
          <w:rtl w:val="true"/>
        </w:rPr>
        <w:t>(</w:t>
      </w:r>
      <w:r>
        <w:rPr>
          <w:rFonts w:cs="FrankRuehl"/>
          <w:b w:val="false"/>
          <w:b w:val="false"/>
          <w:bCs w:val="false"/>
          <w:sz w:val="26"/>
          <w:sz w:val="26"/>
          <w:szCs w:val="26"/>
          <w:rtl w:val="true"/>
        </w:rPr>
        <w:t>פורסם</w:t>
      </w:r>
      <w:r>
        <w:rPr>
          <w:rFonts w:eastAsia="David"/>
          <w:b w:val="false"/>
          <w:b w:val="false"/>
          <w:bCs w:val="false"/>
          <w:sz w:val="26"/>
          <w:sz w:val="26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6"/>
          <w:sz w:val="26"/>
          <w:szCs w:val="26"/>
          <w:rtl w:val="true"/>
        </w:rPr>
        <w:t>בנבו</w:t>
      </w:r>
      <w:r>
        <w:rPr>
          <w:rFonts w:cs="FrankRuehl"/>
          <w:b w:val="false"/>
          <w:bCs w:val="false"/>
          <w:sz w:val="26"/>
          <w:szCs w:val="26"/>
          <w:rtl w:val="true"/>
        </w:rPr>
        <w:t xml:space="preserve">, </w:t>
      </w:r>
      <w:r>
        <w:rPr>
          <w:rFonts w:cs="FrankRuehl"/>
          <w:b w:val="false"/>
          <w:bCs w:val="false"/>
          <w:sz w:val="26"/>
          <w:szCs w:val="26"/>
        </w:rPr>
        <w:t>22.2.2007</w:t>
      </w:r>
      <w:r>
        <w:rPr>
          <w:rFonts w:cs="FrankRuehl"/>
          <w:b w:val="false"/>
          <w:bCs w:val="false"/>
          <w:sz w:val="26"/>
          <w:szCs w:val="26"/>
          <w:rtl w:val="true"/>
        </w:rPr>
        <w:t>)).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רמת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הנפגעים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בענייננו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בדרגה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בינונית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בהתייחס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למדיניות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הנוהגת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אציין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ותד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כאמור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העליון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שנמצא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מחזיק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למזרון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המיטה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אקדח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ומחסנית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הכוללת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9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כדורים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cs="FrankRuehl" w:ascii="David" w:hAnsi="David"/>
          <w:sz w:val="26"/>
          <w:szCs w:val="26"/>
        </w:rPr>
        <w:t>63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כדורים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נוספים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נמצאו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מוטמנים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בחצר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4329/10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25.10.2010</w:t>
      </w:r>
      <w:r>
        <w:rPr>
          <w:rFonts w:cs="FrankRuehl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</w:rPr>
        <w:t>נדחה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ערעור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שנתפס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אקדח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טעון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ברכבו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מבלי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מורשה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לכך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המחוזי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16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תנאי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נותר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כנו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12109-06-15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גראדאת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27.9.2016</w:t>
      </w:r>
      <w:r>
        <w:rPr>
          <w:rFonts w:cs="FrankRuehl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 w:cs="FrankRuehl"/>
          <w:sz w:val="26"/>
          <w:sz w:val="26"/>
          <w:szCs w:val="26"/>
          <w:rtl w:val="true"/>
        </w:rPr>
        <w:t>דן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השופט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</w:t>
      </w:r>
      <w:r>
        <w:rPr>
          <w:rFonts w:cs="FrankRuehl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sz w:val="26"/>
          <w:sz w:val="26"/>
          <w:szCs w:val="26"/>
          <w:rtl w:val="true"/>
        </w:rPr>
        <w:t>כהן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הודאתו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בנשיאת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כדין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9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בפועל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ומאסר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תנאי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למשך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12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עינינו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הרואות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הפסיקה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מגוונת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מקרה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נסיבותיו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פוטנציאל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הנזק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מבוטל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הסנגור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חיצים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שהרובה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הסליק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רובה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מאולתר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</w:rPr>
        <w:t>בשתי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החזקת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נשק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u w:val="single"/>
          <w:rtl w:val="true"/>
        </w:rPr>
        <w:t>האקדח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הסליק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אקדח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לחלוטין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יודגש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כעולה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מחוות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המומחה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לירות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מסוגלים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להמית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אדם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תמים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עמדת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המאשימה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לפיה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הסלקת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הנשק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ספר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שוהים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קבע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נערים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צעירים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מהווה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לחומרה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לעיל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באירוע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בנסיבותיו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24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לעניין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המתחם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המיוחס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ובכך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חסך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זמן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שיפוטי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יקר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נסיבה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בהכרח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תיזקף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לזכותו</w:t>
      </w:r>
      <w:r>
        <w:rPr>
          <w:rFonts w:cs="FrankRuehl" w:ascii="David" w:hAnsi="David"/>
          <w:sz w:val="26"/>
          <w:szCs w:val="26"/>
          <w:rtl w:val="true"/>
        </w:rPr>
        <w:t>.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במשפחת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ממעשיו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אינה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פשוטה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התרשמתי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דומיננטי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בחיי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משפחתו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והוא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מסייע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הניתן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נתתי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למחלתה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הקשה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מייסון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פלילי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רב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רלוונטי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בהכרח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לענייננו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נתתי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להמלצת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שהוגשה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10.12.18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מצאתי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לאמצה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לקראת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גזר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התקבלה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הודעה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דחופה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מטעם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21.2.19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שולב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בינתיים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בקבוצה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טיפולית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9.1.19</w:t>
      </w:r>
      <w:r>
        <w:rPr>
          <w:rFonts w:cs="FrankRuehl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 w:cs="FrankRuehl"/>
          <w:sz w:val="26"/>
          <w:sz w:val="26"/>
          <w:szCs w:val="26"/>
          <w:rtl w:val="true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מבלי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ואף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התנצלותו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בהתאם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להודעה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ראשוני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ועד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התקיימו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מפגשים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אין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בעובדה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הטיפולי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בעיצומו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נמצא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פגיעה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השיקומי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החל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כידוע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המלצת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מחייבת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והשיקולים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לאורם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פועל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במלאכת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גיבוש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המלצותיו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אינם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בהכרח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חופפים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באופן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למגוון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שיקולי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נדרש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לאזן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ביניהם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>(</w:t>
      </w:r>
      <w:hyperlink r:id="rId27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2745/18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שארב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בפסקה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8</w:t>
      </w:r>
      <w:r>
        <w:rPr>
          <w:rFonts w:cs="FrankRuehl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FrankRuehl"/>
          <w:sz w:val="26"/>
          <w:sz w:val="26"/>
          <w:szCs w:val="26"/>
          <w:rtl w:val="true"/>
        </w:rPr>
        <w:t>פורסם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בנבו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cs="FrankRuehl" w:ascii="David" w:hAnsi="David"/>
          <w:sz w:val="26"/>
          <w:szCs w:val="26"/>
        </w:rPr>
        <w:t>9.4.2018</w:t>
      </w:r>
      <w:r>
        <w:rPr>
          <w:rFonts w:cs="FrankRuehl" w:ascii="David" w:hAnsi="David"/>
          <w:sz w:val="26"/>
          <w:szCs w:val="26"/>
          <w:rtl w:val="true"/>
        </w:rPr>
        <w:t>)).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המחוקק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עדיפות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ברורה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לשיקולי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השיקום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שיקולים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וקבע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שיקולי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השיקום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אינם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חזות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הכל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6"/>
            <w:szCs w:val="26"/>
            <w:u w:val="single"/>
          </w:rPr>
          <w:t>7596/18</w:t>
        </w:r>
      </w:hyperlink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שגיב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מלכה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 w:ascii="David" w:hAnsi="David"/>
          <w:b/>
          <w:bCs/>
          <w:sz w:val="26"/>
          <w:szCs w:val="26"/>
          <w:rtl w:val="true"/>
        </w:rPr>
        <w:t>: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"...</w:t>
      </w:r>
      <w:r>
        <w:rPr>
          <w:rFonts w:cs="FrankRuehl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 xml:space="preserve">... </w:t>
      </w:r>
      <w:r>
        <w:rPr>
          <w:rFonts w:cs="FrankRuehl"/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מזאת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113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</w:t>
      </w:r>
      <w:r>
        <w:rPr>
          <w:rFonts w:cs="FrankRuehl"/>
          <w:sz w:val="26"/>
          <w:szCs w:val="26"/>
          <w:rtl w:val="true"/>
        </w:rPr>
        <w:t xml:space="preserve">".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וכמה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שיקומי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התחלתי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ובעיקר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התסקיר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הראשון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שהוגש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לקראת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בטיעונים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לעונש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התקשה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לקבל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אחריות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המיוחס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והתקשה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להבין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מניעיו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מתנהל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מאז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חודש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יוני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2017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וככל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רצון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להשתלב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טיפולי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הדבר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להיעשות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זמן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התייחסות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לרצון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להשתלב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בהליך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טיפולי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ניתנה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בהחלטה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מיום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31.12.18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בשקלול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הנתונים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והאיזונים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ותוך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שנתתי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דעתי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מצאתי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לגזור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העיקרי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בתחתית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מתחם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העונש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yiv3591405368msonormal"/>
        <w:bidi w:val="1"/>
        <w:spacing w:lineRule="auto" w:line="360" w:before="12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</w:r>
    </w:p>
    <w:p>
      <w:pPr>
        <w:pStyle w:val="yiv3591405368msonormal"/>
        <w:bidi w:val="1"/>
        <w:spacing w:lineRule="auto" w:line="360" w:before="120" w:after="120"/>
        <w:ind w:end="0"/>
        <w:jc w:val="both"/>
        <w:rPr>
          <w:rFonts w:ascii="David" w:hAnsi="David" w:cs="FrankRuehl"/>
          <w:sz w:val="26"/>
          <w:szCs w:val="26"/>
        </w:rPr>
      </w:pPr>
      <w:r>
        <w:rPr>
          <w:rFonts w:cs="FrankRuehl" w:ascii="David" w:hAnsi="David"/>
          <w:sz w:val="26"/>
          <w:szCs w:val="26"/>
          <w:rtl w:val="true"/>
        </w:rPr>
      </w:r>
    </w:p>
    <w:p>
      <w:pPr>
        <w:pStyle w:val="yiv3591405368msonormal"/>
        <w:bidi w:val="1"/>
        <w:spacing w:lineRule="auto" w:line="360" w:before="120" w:after="120"/>
        <w:ind w:end="0"/>
        <w:jc w:val="both"/>
        <w:rPr/>
      </w:pP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יסוד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כל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האמור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לעיל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אני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גוזר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עונשו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 w:cs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כדלקמן</w:t>
      </w:r>
      <w:r>
        <w:rPr>
          <w:rFonts w:cs="FrankRuehl" w:ascii="David" w:hAnsi="David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  <w:t>12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4.6.2017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21.6.2017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ימים</w:t>
      </w:r>
      <w:r>
        <w:rPr>
          <w:rFonts w:cs="FrankRuehl"/>
          <w:sz w:val="26"/>
          <w:szCs w:val="26"/>
          <w:rtl w:val="true"/>
        </w:rPr>
        <w:t>).</w:t>
      </w:r>
    </w:p>
    <w:p>
      <w:pPr>
        <w:pStyle w:val="Normal"/>
        <w:spacing w:lineRule="auto" w:line="360" w:before="120" w:after="120"/>
        <w:ind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6.5.19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ניצן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10:00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  <w:t>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144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שחרורו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קנס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יישלח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6"/>
          <w:szCs w:val="26"/>
        </w:rPr>
      </w:pPr>
      <w:r>
        <w:rPr>
          <w:rFonts w:cs="FrankRueh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,  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באדר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תשע</w:t>
      </w:r>
      <w:r>
        <w:rPr>
          <w:rFonts w:cs="FrankRueh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cs="FrankRuehl" w:ascii="Arial" w:hAnsi="Arial"/>
          <w:b/>
          <w:bCs/>
          <w:sz w:val="26"/>
          <w:szCs w:val="26"/>
        </w:rPr>
        <w:t>7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במרץ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Arial" w:hAnsi="Arial"/>
          <w:b/>
          <w:bCs/>
          <w:sz w:val="26"/>
          <w:szCs w:val="26"/>
        </w:rPr>
        <w:t>2019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cs="FrankRuehl" w:ascii="Arial" w:hAnsi="Arial"/>
          <w:b/>
          <w:bCs/>
          <w:sz w:val="26"/>
          <w:szCs w:val="26"/>
          <w:rtl w:val="true"/>
        </w:rPr>
        <w:t xml:space="preserve">.   </w:t>
      </w:r>
      <w:r>
        <w:rPr>
          <w:rFonts w:cs="FrankRuehl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sz w:val="26"/>
          <w:szCs w:val="26"/>
          <w:rtl w:val="true"/>
        </w:rPr>
        <w:t xml:space="preserve">   </w:t>
      </w:r>
      <w:r>
        <w:rPr>
          <w:rFonts w:cs="FrankRuehl"/>
          <w:sz w:val="26"/>
          <w:szCs w:val="26"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טפרברג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00"/>
          <w:u w:val="single"/>
          <w:rtl w:val="true"/>
        </w:rPr>
        <w:t xml:space="preserve">          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35512-06-17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קעקאע בכיראת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מתנהל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Style12">
    <w:name w:val="ציטוט תו"/>
    <w:qFormat/>
    <w:rPr>
      <w:rFonts w:ascii="David" w:hAnsi="David" w:eastAsia="Times New Roman" w:cs="David"/>
      <w:b/>
      <w:bCs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ציטוט"/>
    <w:basedOn w:val="Normal"/>
    <w:next w:val="Normal"/>
    <w:qFormat/>
    <w:pPr>
      <w:spacing w:lineRule="auto" w:line="360" w:before="0" w:after="120"/>
      <w:ind w:hanging="0" w:start="1134" w:end="1134"/>
      <w:jc w:val="both"/>
    </w:pPr>
    <w:rPr>
      <w:rFonts w:ascii="David" w:hAnsi="David" w:cs="David"/>
      <w:b/>
      <w:bCs/>
    </w:rPr>
  </w:style>
  <w:style w:type="paragraph" w:styleId="yiv3591405368msonormal">
    <w:name w:val="yiv3591405368msonormal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a1S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case/6151556" TargetMode="External"/><Relationship Id="rId15" Type="http://schemas.openxmlformats.org/officeDocument/2006/relationships/hyperlink" Target="http://www.nevo.co.il/case/5580781" TargetMode="External"/><Relationship Id="rId16" Type="http://schemas.openxmlformats.org/officeDocument/2006/relationships/hyperlink" Target="http://www.nevo.co.il/law/70301/a1S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/40c.b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case/13093721" TargetMode="External"/><Relationship Id="rId22" Type="http://schemas.openxmlformats.org/officeDocument/2006/relationships/hyperlink" Target="http://www.nevo.co.il/case/6018516" TargetMode="External"/><Relationship Id="rId23" Type="http://schemas.openxmlformats.org/officeDocument/2006/relationships/hyperlink" Target="http://www.nevo.co.il/case/5995135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case/5950172" TargetMode="External"/><Relationship Id="rId26" Type="http://schemas.openxmlformats.org/officeDocument/2006/relationships/hyperlink" Target="http://www.nevo.co.il/case/20334652" TargetMode="External"/><Relationship Id="rId27" Type="http://schemas.openxmlformats.org/officeDocument/2006/relationships/hyperlink" Target="http://www.nevo.co.il/case/23842034" TargetMode="External"/><Relationship Id="rId28" Type="http://schemas.openxmlformats.org/officeDocument/2006/relationships/hyperlink" Target="http://www.nevo.co.il/case/2509066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2020-07-20T11:53:00Z</dcterms:created>
  <dc:creator> </dc:creator>
  <dc:description/>
  <cp:keywords/>
  <dc:language>en-IL</dc:language>
  <cp:lastModifiedBy>yafit</cp:lastModifiedBy>
  <dcterms:modified xsi:type="dcterms:W3CDTF">2020-07-20T11:53:00Z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אל-קעקאע בכיראת (מתנהל);מוחמד ג'עביס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6151556;5580781;13093721;6018516;5995135;5724364;5950172;20334652;23842034;25090661</vt:lpwstr>
  </property>
  <property fmtid="{D5CDD505-2E9C-101B-9397-08002B2CF9AE}" pid="9" name="CITY">
    <vt:lpwstr>י-ם</vt:lpwstr>
  </property>
  <property fmtid="{D5CDD505-2E9C-101B-9397-08002B2CF9AE}" pid="10" name="DATE">
    <vt:lpwstr>20190307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70301/144.a;a1S;040b;040c;040c.b;40jc;144</vt:lpwstr>
  </property>
  <property fmtid="{D5CDD505-2E9C-101B-9397-08002B2CF9AE}" pid="15" name="LAWLISTTMP2">
    <vt:lpwstr>90721</vt:lpwstr>
  </property>
  <property fmtid="{D5CDD505-2E9C-101B-9397-08002B2CF9AE}" pid="16" name="LAWYER">
    <vt:lpwstr>אפרת פילזר;מור ברכה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35512</vt:lpwstr>
  </property>
  <property fmtid="{D5CDD505-2E9C-101B-9397-08002B2CF9AE}" pid="23" name="NEWPARTB">
    <vt:lpwstr>06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390020190307</vt:lpwstr>
  </property>
  <property fmtid="{D5CDD505-2E9C-101B-9397-08002B2CF9AE}" pid="35" name="TYPE_N_DATE">
    <vt:lpwstr>39020190307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