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35543-02-20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מוחמד חאג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יחיא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חטיבת תביעות י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ם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משטרת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פלוני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אבשלום גיספאן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71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71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192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9" w:name="ABSTRACT_START"/>
      <w:bookmarkStart w:id="10" w:name="ABSTRACT_START"/>
      <w:bookmarkEnd w:id="10"/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הורשע ביום </w:t>
      </w:r>
      <w:r>
        <w:rPr>
          <w:rFonts w:cs="FrankRuehl" w:ascii="FrankRuehl" w:hAnsi="FrankRuehl"/>
          <w:sz w:val="28"/>
          <w:szCs w:val="28"/>
        </w:rPr>
        <w:t>6.7.2022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בביצוע החזקה ושימוש בסמים שלא לצריכה עצמית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15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sz w:val="28"/>
            <w:szCs w:val="28"/>
          </w:rPr>
          <w:t>7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hyperlink r:id="rId16">
        <w:r>
          <w:rPr>
            <w:rStyle w:val="Hyperlink"/>
            <w:rFonts w:cs="FrankRuehl" w:ascii="FrankRuehl" w:hAnsi="FrankRuehl"/>
            <w:sz w:val="28"/>
            <w:szCs w:val="28"/>
          </w:rPr>
          <w:t>7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רישא </w:t>
      </w:r>
      <w:r>
        <w:rPr>
          <w:rFonts w:ascii="Miriam" w:hAnsi="Miriam" w:cs="Miriam"/>
          <w:rtl w:val="true"/>
        </w:rPr>
        <w:t>ב</w:t>
      </w:r>
      <w:hyperlink r:id="rId17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[</w:t>
      </w:r>
      <w:r>
        <w:rPr>
          <w:rFonts w:ascii="Miriam" w:hAnsi="Miriam" w:cs="Miriam"/>
          <w:rtl w:val="true"/>
        </w:rPr>
        <w:t>נוסח חדש</w:t>
      </w:r>
      <w:r>
        <w:rPr>
          <w:rFonts w:cs="Miriam" w:ascii="Miriam" w:hAnsi="Miriam"/>
          <w:rtl w:val="true"/>
        </w:rPr>
        <w:t xml:space="preserve">], </w:t>
      </w:r>
      <w:r>
        <w:rPr>
          <w:rFonts w:ascii="Miriam" w:hAnsi="Miriam" w:cs="Miriam"/>
          <w:rtl w:val="true"/>
        </w:rPr>
        <w:t>התשל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ג</w:t>
      </w:r>
      <w:r>
        <w:rPr>
          <w:rFonts w:cs="Miriam" w:ascii="Miriam" w:hAnsi="Miriam"/>
          <w:rtl w:val="true"/>
        </w:rPr>
        <w:t>-</w:t>
      </w:r>
      <w:r>
        <w:rPr>
          <w:rFonts w:cs="Miriam" w:ascii="Miriam" w:hAnsi="Miriam"/>
        </w:rPr>
        <w:t>1973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rtl w:val="true"/>
        </w:rPr>
        <w:t>פקודת הסמים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");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בביצוע גידול וייצור סמים מסוכנים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1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בפקודת הסמים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בביצוע רכישה או החזקת נשק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19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</w:t>
      </w:r>
      <w:hyperlink r:id="rId20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חוק העונשין</w:t>
        </w:r>
      </w:hyperlink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התשל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ז</w:t>
      </w:r>
      <w:r>
        <w:rPr>
          <w:rFonts w:cs="Miriam" w:ascii="Miriam" w:hAnsi="Miriam"/>
          <w:rtl w:val="true"/>
        </w:rPr>
        <w:t>-</w:t>
      </w:r>
      <w:r>
        <w:rPr>
          <w:rFonts w:cs="Miriam" w:ascii="Miriam" w:hAnsi="Miriam"/>
        </w:rPr>
        <w:t>1977</w:t>
      </w:r>
      <w:r>
        <w:rPr>
          <w:rFonts w:cs="Miriam" w:ascii="Miriam" w:hAnsi="Miriam"/>
          <w:rtl w:val="true"/>
        </w:rPr>
        <w:t xml:space="preserve"> </w:t>
      </w:r>
      <w:bookmarkStart w:id="11" w:name="ABSTRACT_END"/>
      <w:bookmarkEnd w:id="11"/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rtl w:val="true"/>
        </w:rPr>
        <w:t>חוק העונשין</w:t>
      </w:r>
      <w:r>
        <w:rPr>
          <w:rFonts w:cs="FrankRuehl" w:ascii="FrankRuehl" w:hAnsi="FrankRuehl"/>
          <w:sz w:val="28"/>
          <w:szCs w:val="28"/>
          <w:rtl w:val="true"/>
        </w:rPr>
        <w:t>").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לפי האישום וכפי שהוכח במשפט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11.8.2019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בשעה </w:t>
      </w:r>
      <w:r>
        <w:rPr>
          <w:rFonts w:cs="FrankRuehl" w:ascii="FrankRuehl" w:hAnsi="FrankRuehl"/>
          <w:sz w:val="28"/>
          <w:szCs w:val="28"/>
        </w:rPr>
        <w:t>09:30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לערך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בוצע חיפוש כדין בבית הנאשם במשק </w:t>
      </w:r>
      <w:r>
        <w:rPr>
          <w:rFonts w:cs="FrankRuehl" w:ascii="FrankRuehl" w:hAnsi="FrankRuehl"/>
          <w:sz w:val="28"/>
          <w:szCs w:val="28"/>
        </w:rPr>
        <w:t>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במושב נחושה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במסגרתו נמצאו פריטים אלה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cs="FrankRuehl" w:ascii="FrankRuehl" w:hAnsi="FrankRuehl"/>
          <w:sz w:val="28"/>
          <w:szCs w:val="28"/>
        </w:rPr>
        <w:t>14.11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גרם סם מסוכן מסוג קנבוס מחולק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שקיות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שני שתילי קנבוס שבהם </w:t>
      </w:r>
      <w:r>
        <w:rPr>
          <w:rFonts w:cs="FrankRuehl" w:ascii="FrankRuehl" w:hAnsi="FrankRuehl"/>
          <w:sz w:val="28"/>
          <w:szCs w:val="28"/>
        </w:rPr>
        <w:t>3.59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גרם סם מסוכן מסוג קנבוס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רימון עשן 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141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כדורי נשק מסוג </w:t>
      </w:r>
      <w:r>
        <w:rPr>
          <w:rFonts w:cs="FrankRuehl" w:ascii="FrankRuehl" w:hAnsi="FrankRuehl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לבקשת ההגנה הוזמן תסקיר של שירות המבחן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תסקיר מיום </w:t>
      </w:r>
      <w:r>
        <w:rPr>
          <w:rFonts w:cs="FrankRuehl" w:ascii="FrankRuehl" w:hAnsi="FrankRuehl"/>
          <w:sz w:val="28"/>
          <w:szCs w:val="28"/>
        </w:rPr>
        <w:t>19.1.2023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דיון טיעונים לעונש התקיים ביום </w:t>
      </w:r>
      <w:r>
        <w:rPr>
          <w:rFonts w:cs="FrankRuehl" w:ascii="FrankRuehl" w:hAnsi="FrankRuehl"/>
          <w:sz w:val="28"/>
          <w:szCs w:val="28"/>
        </w:rPr>
        <w:t>29.1.2023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התסקיר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בתמצית ותוך שמירה על צנעת הפרט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בן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תקופת ילדותו ונערותו הייתה מאותגרת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מטעמים משפחתיים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רפואיים בין מטעמים חברתיים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שירת בצבא שירות מלא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נמצא שהוא סובל מפוסט טראומה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מדיכאון כרוני וגם מקווי אישיות המנעותיים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הוכר כנכה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 המוסד לביטוח לאומי בשיעור גבוה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וכיום הוא מטופל פסיכיאטרית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תרופתית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 שוטף לפי תוכנית שמותאמת לצרכיו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הוא גם בעל רישיון לשימוש בקנאביס רפואי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חשוב לציין כי התסקיר נשען הן על הריאיון עם הנאשם הן על פגישה עם מנהלת המרכז הטיפולי שבו הוא שוהה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ביחס לעבירה מושא ההרשעה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rtl w:val="true"/>
        </w:rPr>
        <w:t>לקח אחריות מלאה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והודה כי נהג בחוסר אחריות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לפי התסקיר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תיאר לפני שירות המבחן כי גידל שתילי קנאביס לצרכיו האישיים ומשקולים כלכליים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וביחס לרימון עשן והכדורים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בשאריות משירותו הצבאי שריכזה אמו בשקית לשם השבתם לצבא בהזדמנות הראשונה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לגורמי הסיכון להישנות המעשה העברייני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 התסקיר על כוחותיו המוגבלים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קשייו הרגשיים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קשיי התפקוד והחשיבה העצמאית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על תחושות החרדה הקיימות אצלו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אלה ואחרים מהווים גורמי סיכון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יכולתו ליצור קשר המבוסס על אמון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המסוגלות להליך טיפולי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שיתוף הפעולה מצדו למיצוי זכויותיו והמוטיבציה הפנימית שלו להשתקם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לצד נטילת האחריות – אלה מהווים גורמי סיכוי לשיקום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בשקלול מעמיק של כל הפרמטרים האמורים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התסקיר בא בהמלצה של ענישה מוחשית בדמות קנס וענישה מותנית שצופת פני עתיד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 המבחן סבור כי הנאשם לא יהיה מסוגל להתחייב בענישה מוחשית שעלולה לפגוע בשגרת יומו וביציבותו היחסית נוכח מצבו הנפשי הרעוע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וזה יפגע בשיקומו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לעתירה לביטול ההרשעה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ציין לפני שירות המבחן כי בכוונתו ללמוד חינוך וההרשעה תעמוד לו לרועץ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התסקיר אינו בא בהמלצה לביטול הרשעה כמבוקש מאחר ולא הוכח פוטנציאל קיומו של נזק קונקרטי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עיקרי טענות הצדדים לעונש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טוענת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השאר ובעיקר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מעשי הנאשם שבהם הוא הורשע גורמים להכבדה ניכרת על גורמי אכיפת 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לדידה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יש להעמיד את מתחם הענישה כך שינוע בין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שיכול וירוצו בעבודות שירות עד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יש למקֵם את עונשו של הנאשם בשים לב לנסיבותיו האישיות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ברף התחתון של המתחם ולהטיל עליו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שירוצו בעבודות שירות ככל שיימצא מתאים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ענישה נלווית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מתנגדת לביטול ההרשעה מאחר ולא מתקיימים התנאים הנדרשים לכך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הנאשם – באמצעות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כוחו </w:t>
      </w:r>
      <w:r>
        <w:rPr>
          <w:rFonts w:ascii="Miriam" w:hAnsi="Miriam" w:cs="Miriam"/>
          <w:rtl w:val="true"/>
        </w:rPr>
        <w:t>עו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ד א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גיספאן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טוען מנגד בין השאר ובעיקר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בכתב האישום ובהכרעת הדין לא צוין אם המשקל של הסם הוא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נטו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ברוטו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משקל הסם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נטו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מגיע לכדי גבולותיה של עבירה מנהלית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מכל מקום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בהתחשב בנסיבותיו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עותרת ההגנה למידת הרחמים בהשתת העונש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סובל מפוסט טראומה ועבר הליך שיקומי ארוך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למרות נסיבות החיים הקשות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הצליח להשתלב בהליך שיקומי 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אמנם השתמש בקנאביס רפואי לפני שקיבל רישיון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בשנתיים האחרונות הוא מחזיק רישיון כזה לשימוש במקרה הצורך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נטל אחריות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מאשר כי גידל שני צמחים קטנים של הסם אצלו בבית מאחר ורצה להימנע ממגע עם עבריינים וסוחרי 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 המבחן התרשם כי הנאשם אינו בעל אפיון עברייני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בעניין החזקת התחמושת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מדובר בהחזקת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הכדורים נותרו משירותו הצבאי ולגבי רימון העשן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מדובר בחפץ שיכול להביא לפציעה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נעדר עבר פלילי ומאז האישום עברו מעל שלוש שנים במהלכם לא הסתבך בפלילים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עותר לביטול ההרשעה על מנת שלא לפגוע בעתידו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והוא הביע נכונות לביצוע עבודות שירות לתועלת הציבור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גם הנאשם עצמו דיבר לפניי בדיון הטיעונים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נמצא כיום במסגרת שיקומית אינטנסיבית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 יומי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עובד בשעות הבוקר ומשעות הצהריים ועד הערב הוא נמצא בטיפולים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רוצה להמשיך בטיפולים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לשים את הכל מאחוריו ומקווה שעם הטיפולים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יוכל לצאת לדרך חדשה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זה המקום לציין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עובר למתן גזר הדין הוריתי על הזמנת חוות דעת של הממונה על עבודות השירות בשירות בתי הסוהר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סמוך לאחר מכן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עתר הנאשם לשקול את ביטול הוראה זו בציינו כי ענישה בדמות עבודות שירות תביא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rtl w:val="true"/>
        </w:rPr>
        <w:t>לקריסתו הנפשית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ולמעשה תפגע בתוכנית הטיפול שבה הוא משולב כיום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וזה עלול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rtl w:val="true"/>
        </w:rPr>
        <w:t>לסכן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חייו ולמנוע ממנו אפשרות לשוב לתפקוד משביע רצון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נשען בבקשתו האמורה על מכתב של מכון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סאמיט</w:t>
      </w:r>
      <w:r>
        <w:rPr>
          <w:rFonts w:cs="FrankRuehl" w:ascii="FrankRuehl" w:hAnsi="FrankRuehl"/>
          <w:sz w:val="28"/>
          <w:szCs w:val="28"/>
          <w:rtl w:val="true"/>
        </w:rPr>
        <w:t xml:space="preserve">" 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עמותה לשירותי טיפול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שיקום פסיכוסוציאלי ורווחה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מיום </w:t>
      </w:r>
      <w:r>
        <w:rPr>
          <w:rFonts w:cs="FrankRuehl" w:ascii="FrankRuehl" w:hAnsi="FrankRuehl"/>
          <w:sz w:val="28"/>
          <w:szCs w:val="28"/>
        </w:rPr>
        <w:t>10.4.2023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מכתב של פסיכיאטר וגם על מכתב נוסף של מכון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סאמיט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מיום </w:t>
      </w:r>
      <w:r>
        <w:rPr>
          <w:rFonts w:cs="FrankRuehl" w:ascii="FrankRuehl" w:hAnsi="FrankRuehl"/>
          <w:sz w:val="28"/>
          <w:szCs w:val="28"/>
        </w:rPr>
        <w:t>11.4.2023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יסוד התוכן שבמכתבים האמורים וטיעוני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וכן מאחר ולא הוגשה כל תגובה מטעם המאשימה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חרף ההחלטה מיום </w:t>
      </w:r>
      <w:r>
        <w:rPr>
          <w:rFonts w:cs="FrankRuehl" w:ascii="FrankRuehl" w:hAnsi="FrankRuehl"/>
          <w:sz w:val="28"/>
          <w:szCs w:val="28"/>
        </w:rPr>
        <w:t>13.4.2023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הוריתי ביום </w:t>
      </w:r>
      <w:r>
        <w:rPr>
          <w:rFonts w:cs="FrankRuehl" w:ascii="FrankRuehl" w:hAnsi="FrankRuehl"/>
          <w:sz w:val="28"/>
          <w:szCs w:val="28"/>
        </w:rPr>
        <w:t>30.4.2023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ביטול זימון חוות דעת כאמור תוך שהובהר כי אין בזאת משום קביעת עמדה כלשהי ביחס לרכיבי הענישה אשר יגובשו רק לאחר בחינה סופית של מכלול הטיעונים לעונש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תחילה ביחס לעתירה של הנאשם לביטול הרשעה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שנתתי את דעתי לטענות הצדדים בנדון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הגעתי לכלל דעה כי דין העתירה להידחות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לפי ההלכה הפסוקה אי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הרשעה אפשרית בהתקיים שני תנאים מצטברים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הראשון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מקום בו ההרשעה תפגע פגיעה חמורה בשיקום הנאשם אשר נדרש להצביע על נזק קונקרטי שייגרם לו אם תיוותר הרשעתו על כנה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Miriam" w:hAnsi="Miriam" w:cs="Miriam"/>
          <w:rtl w:val="true"/>
        </w:rPr>
        <w:t>השני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סוג העבירה מאפשר לוותר בנסיבות המקרה על ההרשעה מבלי לפגוע באופן מהותי בשיקולי הענישה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547/21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סיטניק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17.3.2021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6485/20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ביטון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11.1.2021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הלכה זו ידועה כהלכת כּתב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2083/96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כתב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 נב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337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1997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הסמכות כיום מעוגנת </w:t>
      </w:r>
      <w:hyperlink r:id="rId24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192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</w:t>
      </w:r>
      <w:hyperlink r:id="rId25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חוק סדר הדין הפלילי</w:t>
        </w:r>
      </w:hyperlink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[</w:t>
      </w:r>
      <w:r>
        <w:rPr>
          <w:rFonts w:ascii="Miriam" w:hAnsi="Miriam" w:cs="Miriam"/>
          <w:rtl w:val="true"/>
        </w:rPr>
        <w:t>נוסח משולב</w:t>
      </w:r>
      <w:r>
        <w:rPr>
          <w:rFonts w:cs="Miriam" w:ascii="Miriam" w:hAnsi="Miriam"/>
          <w:rtl w:val="true"/>
        </w:rPr>
        <w:t xml:space="preserve">], </w:t>
      </w:r>
      <w:r>
        <w:rPr>
          <w:rFonts w:ascii="Miriam" w:hAnsi="Miriam" w:cs="Miriam"/>
          <w:rtl w:val="true"/>
        </w:rPr>
        <w:t>התשמ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</w:t>
      </w:r>
      <w:r>
        <w:rPr>
          <w:rFonts w:cs="Miriam" w:ascii="Miriam" w:hAnsi="Miriam"/>
          <w:rtl w:val="true"/>
        </w:rPr>
        <w:t>-</w:t>
      </w:r>
      <w:r>
        <w:rPr>
          <w:rFonts w:cs="Miriam" w:ascii="Miriam" w:hAnsi="Miriam"/>
        </w:rPr>
        <w:t>1982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וגם </w:t>
      </w:r>
      <w:hyperlink r:id="rId26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71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</w:t>
      </w:r>
      <w:hyperlink r:id="rId27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מכל מקום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דרך המלך היא כי יש להרשיע את מי שנקבע כי ביצע את העבירה שבגינה הועמד לדין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ביטול הרשעה אינו הכלל אלא החריג 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למצער ביחס לבגירים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8169/20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שלום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26.8.2021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גם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5018/18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בוזגלו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21.10.2018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אינני סבור כי מה משני התנאים מתקיים במקרה לפנינו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 שבהן הורשע הנאשם לאחר כפירה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חמורות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השילוב ביניהן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בלשון המעטה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 מקהה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מלבד הטענה הכללית לפיה הנאשם עתיד ללמוד מקצוע בתחום החינוך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ראיות משכנעות בדבר קיומו של פוטנציאל לנזק ממשי בשיקומו עם הותרת ההרשעה על כנה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וממילא התסקיר לא בא בהמלצה חיובית בנדון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חזקה על כל מעסיק לבחור את עובדיו לפי יכולותיהם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כישוריהם והתאמתם לתפקיד הייעודי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נוסף לאמור אציין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כפר לאורך כל ההליך במיוחס לו ונוהל משפט שלם תוך הטלת דופי בעדויות השוטרים שהעידו ובחוקיות החיפוש שבוצע בביתו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נטילת האחריות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ידו באה לראשונה רק לפני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נכון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זכותו של הנאשם לנהל את הגנתו על מנת להוכיח את חפותו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 נראה שנסיבות אלו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ובמובחן משקילת מכלול הטענות לקביעת העונש הראוי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מצדיקות גישה סלחנית שתבוא לידי ביטוי בביטול ההרשעה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מכאן לעונש הראוי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3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</w:t>
      </w:r>
      <w:hyperlink r:id="rId31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3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לקביעת 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rtl w:val="true"/>
        </w:rPr>
        <w:t>יתחשב בערך החברתי שנפגע מביצוע העבירה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במידת הפגיעה בו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במדיניות הענישה הנהוגה ובנסיבות הקשורות בביצוע העבירה כאמור בסעיף </w:t>
      </w:r>
      <w:r>
        <w:rPr>
          <w:rFonts w:cs="Miriam" w:ascii="Miriam" w:hAnsi="Miriam"/>
        </w:rPr>
        <w:t>40</w:t>
      </w:r>
      <w:r>
        <w:rPr>
          <w:rFonts w:ascii="Miriam" w:hAnsi="Miriam" w:cs="Miriam"/>
          <w:rtl w:val="true"/>
        </w:rPr>
        <w:t>ט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ולפי </w:t>
      </w:r>
      <w:hyperlink r:id="rId3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"</w:t>
      </w:r>
      <w:r>
        <w:rPr>
          <w:rFonts w:ascii="Miriam" w:hAnsi="Miriam" w:cs="Miriam"/>
          <w:rtl w:val="true"/>
        </w:rPr>
        <w:t>בתוך מתחם העונש ההולם יגזור בית המשפט את העונש המתאים לנאשם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בהתחשב בנסיבות שאינן קשורות בביצוע העבירה</w:t>
      </w:r>
      <w:r>
        <w:rPr>
          <w:rFonts w:cs="Miriam" w:ascii="Miriam" w:hAnsi="Miriam"/>
          <w:rtl w:val="true"/>
        </w:rPr>
        <w:t>...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rtl w:val="true"/>
        </w:rPr>
        <w:t>הערכים המוגנים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להחזקת סמים או גידולם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להכביר במילים ביחס למידת הפגיעה החמורה בהגנה על שלום הציבור ובריאותו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ולבטח כאשר מדובר בסם שאינו לצריכה עצמית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הנזק הנובע מהסם הוא ישיר למשתמש בו ועקיף לכלל הציבור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שכבר נפסק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Miriam" w:hAnsi="Miriam" w:cs="Miriam"/>
          <w:rtl w:val="true"/>
        </w:rPr>
        <w:t>את נגע הסמים יש לעקור מן השורש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972/11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יונה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4.7.2012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כך גם ביחס להחזקת התחמושת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רימון הרעש וכדורי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אם לא נמצא נשק זמין בצדם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בתחמושת מסוכנת כשלעצמה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יכולה לזלוג גם לגורמים עברייניים או גורמי 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והדרך משם למימוש הייעוד של תחמושת זו ופגיעה בכלל הציבור אינה ארוכה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בידי לקבל את הסבר הנאשם לפיו הוא רק שמר על שאריות תחמושת משירותו הצבאי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rtl w:val="true"/>
        </w:rPr>
        <w:t>נסיבות 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נמצא מחזיק בביתו שלא כדין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גרם סם מסוג קנבוס כשהוא מחולק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שני שתילי קנבוס שבהם </w:t>
      </w:r>
      <w:r>
        <w:rPr>
          <w:rFonts w:cs="FrankRuehl" w:ascii="FrankRuehl" w:hAnsi="FrankRuehl"/>
          <w:sz w:val="28"/>
          <w:szCs w:val="28"/>
        </w:rPr>
        <w:t>3.59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גרם סם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רימון עשן וכ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כדורי נשק מסוג </w:t>
      </w:r>
      <w:r>
        <w:rPr>
          <w:rFonts w:cs="FrankRuehl" w:ascii="FrankRuehl" w:hAnsi="FrankRuehl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התסקיר הנאשם השתמש בהם לצריכה אישית והוא גידל שתילים מטעמים כלכליים וחיסכון בעלויות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 המקום לציין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עוד עובר להגשת סיכומי הצדדים לפני הכרעת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הציג הנאשם רישיון להחזקת ושימוש בקנאביס רפואי מיום </w:t>
      </w:r>
      <w:r>
        <w:rPr>
          <w:rFonts w:cs="FrankRuehl" w:ascii="FrankRuehl" w:hAnsi="FrankRuehl"/>
          <w:sz w:val="28"/>
          <w:szCs w:val="28"/>
        </w:rPr>
        <w:t>4.3.2021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יום </w:t>
      </w:r>
      <w:r>
        <w:rPr>
          <w:rFonts w:cs="FrankRuehl" w:ascii="FrankRuehl" w:hAnsi="FrankRuehl"/>
          <w:sz w:val="28"/>
          <w:szCs w:val="28"/>
        </w:rPr>
        <w:t>30.8.2021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בתסקיר ובטיעונים לעונש צוין שהוא החזיק רישיון כזה גם 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השילוב של העבירות האמורות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מצביע על חומרה במעשה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התרשמתי כי נסיבות ביצוען של העבירות אינן מצויות ברף החומרה הגבוה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בשים לב למוגבלות הרפואית הנפשית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כעולה ממכלול החומר שהוצג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והעדר קיומם של דפוסים עברייניים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rtl w:val="true"/>
        </w:rPr>
        <w:t>מדיניות הענישה ההולמת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מתן הדעת לטיעוני הצדדים בנדון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בהינתן הנסיבות הספציפיות של המקרה לפניי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ולאחר עיון בפסיקה אליה הפנו הצדדים בדיון וגם לפסיקה שתוזכר 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סבור כי ככלל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הענישה </w:t>
      </w:r>
      <w:r>
        <w:rPr>
          <w:rFonts w:ascii="Miriam" w:hAnsi="Miriam" w:cs="Miriam"/>
          <w:rtl w:val="true"/>
        </w:rPr>
        <w:t>נע בין תקופת מאסר קצרה שניתן לרצות בעבודות שירות ועד שנת מאסר מאחורי סורג ובריח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זאת לצד ענישה נלווית</w:t>
      </w:r>
      <w:r>
        <w:rPr>
          <w:rFonts w:cs="Miriam" w:ascii="Miriam" w:hAnsi="Miriam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והשוו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עם הפסיקה הבאה בשינויים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המתחייבים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5261/18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דוידוף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12.7.2018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8146/17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אבישלום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14.11.2017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3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20599-04-17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מירילשוילי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27.9.2017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3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32398-04-16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חי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9.4.2017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3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37282-10-20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עוזירי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5.3.2023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4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נת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40306-12-19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דיין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23.1.2023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4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68456-11-20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יוחננוב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21.11.2022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4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65577-12-19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ישרטל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אלקרינאוי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31.10.2022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4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ק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56479-12-15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‏ ‏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גלמן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24.9.2017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rtl w:val="true"/>
        </w:rPr>
        <w:t>נסיבות שאינן קשורות בביצוע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בן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סובל ממורכבות רפואית נפשית כפי שמפורטת בתסקיר וגם כעולה מהמסמכים הרפואיים שצורפו לתיק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בכלל זה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מכתבים של מכון סאמיט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נכות בשיעור </w:t>
      </w:r>
      <w:r>
        <w:rPr>
          <w:rFonts w:cs="FrankRuehl" w:ascii="FrankRuehl" w:hAnsi="FrankRuehl"/>
          <w:sz w:val="28"/>
          <w:szCs w:val="28"/>
        </w:rPr>
        <w:t>46%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קביעת המוסד לביטוח לאומי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טיב הנכות הרפואית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התסקיר עמד על כך כי ענישה מוחשית יש בה לפגוע בשיקום הנאשם ובתהליך הטיפולי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הנפשי שהוא כבר החל וממשיך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הדברים נתמכים גם במסמכים הרפואיים שהוצגו כאמור בעתירה לבטל זימון חוות דעת של הממונה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בהקשר זה נתתי את דעתי גם לנסיבות המשפחתיות שמפורטות בתסקיר אשר מפאת צנעת הפרט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אסתפק רק בלהפנות אליו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ההליך הפלילי גרם לחידוד הגבול בין המותר והאסור אצל הנאשם ומהווה גורם הרתעתי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האמור ייזקף לקולת העונש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עוד תיזקף לקולת העונש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במידה זהירה ומתונה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נטילת האחריות לאחר הכרעת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כפר בכל המיוחס לו ובחר למצות את זכותו המלאה לנהל את המשפט עד תומו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בהליך העידו חמישה שוטרים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עצמו בחר שלא להעיד במשפט אך אמו העידה מטעם ההגנה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בשקלול של כל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ותוך מתן דגש להמלצת שירות המבחן שהצביעה על החשש הממשי לפגיעה השיקומית בהליך הטיפולי שהוא עובר ומאחר ולא התרשמתי כי הנאשם מגלה דפוסים עברייניים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ראוי בעיניי לחרוג במעט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לקולא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מתחתית המתחם באופן זה שיהיה ניתן להסתפק בענישה חינוכית מורחבת לצד ענישה נלווית מרתיעה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תוצאה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לאור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משית על הנאשם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108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יבצע </w:t>
      </w:r>
      <w:r>
        <w:rPr>
          <w:rFonts w:cs="FrankRuehl" w:ascii="FrankRuehl" w:hAnsi="FrankRuehl"/>
          <w:sz w:val="28"/>
          <w:szCs w:val="28"/>
        </w:rPr>
        <w:t>300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שעות לתועלת הציבור לפי תוכנית שיקבע שירות המבחן ותובא לעיוני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שעות אלו יבוצעו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תוך שנה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לאחר גיבוש תוכנית בעניינו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תוכנית כאמור תוכן על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ידי שירות המבחן </w:t>
      </w:r>
      <w:r>
        <w:rPr>
          <w:rFonts w:cs="FrankRuehl" w:ascii="FrankRuehl" w:hAnsi="FrankRuehl"/>
          <w:sz w:val="28"/>
          <w:szCs w:val="28"/>
          <w:u w:val="single"/>
        </w:rPr>
        <w:t>1.9.2023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לעניין זה מופנית שימת לב הנאשם להוראת </w:t>
      </w:r>
      <w:hyperlink r:id="rId44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71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 w:ascii="FrankRuehl" w:hAnsi="FrankRuehl"/>
            <w:sz w:val="28"/>
            <w:szCs w:val="28"/>
          </w:rPr>
          <w:t>3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</w:t>
      </w:r>
      <w:hyperlink r:id="rId45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לפיה אם יופר צו השירות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רשאי בית המשפט להטיל עונש אחר במקומו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108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ככל שיעבור מה מהעבירות שבהן 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תוך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 מהיום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108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מטיל על הנאשם קנס בגובה </w:t>
      </w:r>
      <w:r>
        <w:rPr>
          <w:rFonts w:cs="FrankRuehl" w:ascii="FrankRuehl" w:hAnsi="FrankRuehl"/>
          <w:sz w:val="28"/>
          <w:szCs w:val="28"/>
        </w:rPr>
        <w:t>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מאסר במקומו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הסכום ישולם בשני תשלומים חודשיים שווים ועוקבים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התשלום הראשון ישולם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עד יום </w:t>
      </w:r>
      <w:r>
        <w:rPr>
          <w:rFonts w:cs="FrankRuehl" w:ascii="FrankRuehl" w:hAnsi="FrankRuehl"/>
          <w:sz w:val="28"/>
          <w:szCs w:val="28"/>
          <w:u w:val="single"/>
        </w:rPr>
        <w:t>21.</w:t>
      </w:r>
      <w:r>
        <w:rPr>
          <w:rFonts w:cs="FrankRuehl" w:ascii="FrankRuehl" w:hAnsi="FrankRuehl"/>
          <w:sz w:val="28"/>
          <w:szCs w:val="28"/>
          <w:u w:val="single"/>
        </w:rPr>
        <w:t>8</w:t>
      </w:r>
      <w:r>
        <w:rPr>
          <w:rFonts w:cs="FrankRuehl" w:ascii="FrankRuehl" w:hAnsi="FrankRuehl"/>
          <w:sz w:val="28"/>
          <w:szCs w:val="28"/>
          <w:u w:val="single"/>
        </w:rPr>
        <w:t>.2023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והשני עד יום </w:t>
      </w:r>
      <w:r>
        <w:rPr>
          <w:rFonts w:cs="FrankRuehl" w:ascii="FrankRuehl" w:hAnsi="FrankRuehl"/>
          <w:sz w:val="28"/>
          <w:szCs w:val="28"/>
          <w:u w:val="single"/>
        </w:rPr>
        <w:t>21.</w:t>
      </w:r>
      <w:r>
        <w:rPr>
          <w:rFonts w:cs="FrankRuehl" w:ascii="FrankRuehl" w:hAnsi="FrankRuehl"/>
          <w:sz w:val="28"/>
          <w:szCs w:val="28"/>
          <w:u w:val="single"/>
        </w:rPr>
        <w:t>9</w:t>
      </w:r>
      <w:r>
        <w:rPr>
          <w:rFonts w:cs="FrankRuehl" w:ascii="FrankRuehl" w:hAnsi="FrankRuehl"/>
          <w:sz w:val="28"/>
          <w:szCs w:val="28"/>
          <w:u w:val="single"/>
        </w:rPr>
        <w:t>.2023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התשלומים יבוצעו לחשבון המרכז לגביית קנסות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אגרות והוצאות ברשות האכיפה והגבייה באחת מהדרכים הבאות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בכרטיס אשראי – באתר המקוון של רשות האכיפה והגבייה </w:t>
      </w:r>
      <w:r>
        <w:rPr>
          <w:rFonts w:cs="FrankRuehl" w:ascii="FrankRuehl" w:hAnsi="FrankRuehl"/>
          <w:sz w:val="28"/>
          <w:szCs w:val="28"/>
        </w:rPr>
        <w:t>www.eca.gov.il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מוקד שירות טלפוני בשירות עצמי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מרכז גבייה</w:t>
      </w:r>
      <w:r>
        <w:rPr>
          <w:rFonts w:cs="FrankRuehl" w:ascii="FrankRuehl" w:hAnsi="FrankRuehl"/>
          <w:sz w:val="28"/>
          <w:szCs w:val="28"/>
          <w:rtl w:val="true"/>
        </w:rPr>
        <w:t xml:space="preserve">) 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בטלפון </w:t>
      </w:r>
      <w:r>
        <w:rPr>
          <w:rFonts w:cs="FrankRuehl" w:ascii="FrankRuehl" w:hAnsi="FrankRuehl"/>
          <w:sz w:val="28"/>
          <w:szCs w:val="28"/>
        </w:rPr>
        <w:t>35592</w:t>
      </w:r>
      <w:r>
        <w:rPr>
          <w:rFonts w:cs="FrankRuehl" w:ascii="FrankRuehl" w:hAnsi="FrankRuehl"/>
          <w:sz w:val="28"/>
          <w:szCs w:val="28"/>
          <w:rtl w:val="true"/>
        </w:rPr>
        <w:t xml:space="preserve">*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בטלפון </w:t>
      </w:r>
      <w:r>
        <w:rPr>
          <w:rFonts w:cs="FrankRuehl" w:ascii="FrankRuehl" w:hAnsi="FrankRuehl"/>
          <w:sz w:val="28"/>
          <w:szCs w:val="28"/>
        </w:rPr>
        <w:t>073-2055000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במזומן בכל סניף של בנק הדואר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108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יתחייב לשלם סך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</w:rPr>
        <w:t>,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</w:rPr>
        <w:t>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ככל שהוא יעבור עבירה מבין העבירות שבהן הורשע תוך שנתיים מהיום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המחוזי בירושלים תוך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color w:val="FFFFFF"/>
          <w:sz w:val="2"/>
          <w:szCs w:val="2"/>
          <w:u w:val="single"/>
        </w:rPr>
        <w:t>54678313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המזכירות – להודיע לשירות המבחן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מוחמד חאג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35543-02-20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>
        <w:sz w:val="22"/>
        <w:szCs w:val="22"/>
      </w:rPr>
    </w:lvl>
  </w:abstractNum>
  <w:abstractNum w:abstractNumId="2">
    <w:lvl w:ilvl="0"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>
        <w:sz w:val="22"/>
        <w:szCs w:val="22"/>
      </w:rPr>
    </w:lvl>
  </w:abstractNum>
  <w:abstractNum w:abstractNumId="4">
    <w:lvl w:ilvl="0">
      <w:start w:val="1"/>
      <w:numFmt w:val="hebrew1"/>
      <w:lvlText w:val="%1)"/>
      <w:lvlJc w:val="end"/>
      <w:pPr>
        <w:tabs>
          <w:tab w:val="num" w:pos="0"/>
        </w:tabs>
        <w:ind w:start="1080" w:hanging="360"/>
      </w:pPr>
      <w:rPr>
        <w:rFonts w:ascii="FrankRuehl" w:hAnsi="FrankRuehl" w:cs="FrankRuehl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FrankRuehl" w:hAnsi="FrankRuehl" w:cs="FrankRuehl"/>
    </w:rPr>
  </w:style>
  <w:style w:type="character" w:styleId="WW8Num2z0">
    <w:name w:val="WW8Num2z0"/>
    <w:qFormat/>
    <w:rPr>
      <w:sz w:val="22"/>
      <w:szCs w:val="22"/>
    </w:rPr>
  </w:style>
  <w:style w:type="character" w:styleId="WW8Num3z0">
    <w:name w:val="WW8Num3z0"/>
    <w:qFormat/>
    <w:rPr>
      <w:rFonts w:ascii="Symbol" w:hAnsi="Symbol" w:eastAsia="Calibri" w:cs="FrankRueh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b" TargetMode="External"/><Relationship Id="rId8" Type="http://schemas.openxmlformats.org/officeDocument/2006/relationships/hyperlink" Target="http://www.nevo.co.il/law/70301/40c.a" TargetMode="External"/><Relationship Id="rId9" Type="http://schemas.openxmlformats.org/officeDocument/2006/relationships/hyperlink" Target="http://www.nevo.co.il/law/70301/40c.b" TargetMode="External"/><Relationship Id="rId10" Type="http://schemas.openxmlformats.org/officeDocument/2006/relationships/hyperlink" Target="http://www.nevo.co.il/law/70301/71a.b" TargetMode="External"/><Relationship Id="rId11" Type="http://schemas.openxmlformats.org/officeDocument/2006/relationships/hyperlink" Target="http://www.nevo.co.il/law/70301/71d.3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4903" TargetMode="External"/><Relationship Id="rId14" Type="http://schemas.openxmlformats.org/officeDocument/2006/relationships/hyperlink" Target="http://www.nevo.co.il/law/74903/192a" TargetMode="External"/><Relationship Id="rId15" Type="http://schemas.openxmlformats.org/officeDocument/2006/relationships/hyperlink" Target="http://www.nevo.co.il/law/4216/7.a" TargetMode="External"/><Relationship Id="rId16" Type="http://schemas.openxmlformats.org/officeDocument/2006/relationships/hyperlink" Target="http://www.nevo.co.il/law/4216/7.c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4216/6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7351133" TargetMode="External"/><Relationship Id="rId22" Type="http://schemas.openxmlformats.org/officeDocument/2006/relationships/hyperlink" Target="http://www.nevo.co.il/case/27008094" TargetMode="External"/><Relationship Id="rId23" Type="http://schemas.openxmlformats.org/officeDocument/2006/relationships/hyperlink" Target="http://www.nevo.co.il/case/5810781" TargetMode="External"/><Relationship Id="rId24" Type="http://schemas.openxmlformats.org/officeDocument/2006/relationships/hyperlink" Target="http://www.nevo.co.il/law/74903/192a" TargetMode="External"/><Relationship Id="rId25" Type="http://schemas.openxmlformats.org/officeDocument/2006/relationships/hyperlink" Target="http://www.nevo.co.il/law/74903" TargetMode="External"/><Relationship Id="rId26" Type="http://schemas.openxmlformats.org/officeDocument/2006/relationships/hyperlink" Target="http://www.nevo.co.il/law/70301/71a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7186392" TargetMode="External"/><Relationship Id="rId29" Type="http://schemas.openxmlformats.org/officeDocument/2006/relationships/hyperlink" Target="http://www.nevo.co.il/case/24345651" TargetMode="External"/><Relationship Id="rId30" Type="http://schemas.openxmlformats.org/officeDocument/2006/relationships/hyperlink" Target="http://www.nevo.co.il/law/70301/40b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c.a" TargetMode="External"/><Relationship Id="rId33" Type="http://schemas.openxmlformats.org/officeDocument/2006/relationships/hyperlink" Target="http://www.nevo.co.il/law/70301/40c.b" TargetMode="External"/><Relationship Id="rId34" Type="http://schemas.openxmlformats.org/officeDocument/2006/relationships/hyperlink" Target="http://www.nevo.co.il/case/5738608" TargetMode="External"/><Relationship Id="rId35" Type="http://schemas.openxmlformats.org/officeDocument/2006/relationships/hyperlink" Target="http://www.nevo.co.il/case/24492956" TargetMode="External"/><Relationship Id="rId36" Type="http://schemas.openxmlformats.org/officeDocument/2006/relationships/hyperlink" Target="http://www.nevo.co.il/case/23226226" TargetMode="External"/><Relationship Id="rId37" Type="http://schemas.openxmlformats.org/officeDocument/2006/relationships/hyperlink" Target="http://www.nevo.co.il/case/22531303" TargetMode="External"/><Relationship Id="rId38" Type="http://schemas.openxmlformats.org/officeDocument/2006/relationships/hyperlink" Target="http://www.nevo.co.il/case/21305839" TargetMode="External"/><Relationship Id="rId39" Type="http://schemas.openxmlformats.org/officeDocument/2006/relationships/hyperlink" Target="http://www.nevo.co.il/case/27084362" TargetMode="External"/><Relationship Id="rId40" Type="http://schemas.openxmlformats.org/officeDocument/2006/relationships/hyperlink" Target="http://www.nevo.co.il/case/26278294" TargetMode="External"/><Relationship Id="rId41" Type="http://schemas.openxmlformats.org/officeDocument/2006/relationships/hyperlink" Target="http://www.nevo.co.il/case/27195285" TargetMode="External"/><Relationship Id="rId42" Type="http://schemas.openxmlformats.org/officeDocument/2006/relationships/hyperlink" Target="http://www.nevo.co.il/case/26309110" TargetMode="External"/><Relationship Id="rId43" Type="http://schemas.openxmlformats.org/officeDocument/2006/relationships/hyperlink" Target="http://www.nevo.co.il/case/20828408" TargetMode="External"/><Relationship Id="rId44" Type="http://schemas.openxmlformats.org/officeDocument/2006/relationships/hyperlink" Target="http://www.nevo.co.il/law/70301/71d.3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2024-02-22T15:30:00Z</dcterms:created>
  <dc:creator> </dc:creator>
  <dc:description/>
  <cp:keywords/>
  <dc:language>en-IL</dc:language>
  <cp:lastModifiedBy>h1</cp:lastModifiedBy>
  <dcterms:modified xsi:type="dcterms:W3CDTF">2024-02-22T15:30:00Z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27351133;27008094;5810781;27186392;24345651;5738608;24492956;23226226;22531303;21305839;27084362;26278294;27195285;26309110;20828408</vt:lpwstr>
  </property>
  <property fmtid="{D5CDD505-2E9C-101B-9397-08002B2CF9AE}" pid="9" name="CITY">
    <vt:lpwstr>י-ם</vt:lpwstr>
  </property>
  <property fmtid="{D5CDD505-2E9C-101B-9397-08002B2CF9AE}" pid="10" name="DATE">
    <vt:lpwstr>20230621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מוחמד חאג' יחיא</vt:lpwstr>
  </property>
  <property fmtid="{D5CDD505-2E9C-101B-9397-08002B2CF9AE}" pid="14" name="LAWLISTTMP1">
    <vt:lpwstr>4216/007.a;007.c;006</vt:lpwstr>
  </property>
  <property fmtid="{D5CDD505-2E9C-101B-9397-08002B2CF9AE}" pid="15" name="LAWLISTTMP2">
    <vt:lpwstr>70301/144.a;071a.b;040b;040c.a;040c.b;071d.3</vt:lpwstr>
  </property>
  <property fmtid="{D5CDD505-2E9C-101B-9397-08002B2CF9AE}" pid="16" name="LAWLISTTMP3">
    <vt:lpwstr>74903/192a</vt:lpwstr>
  </property>
  <property fmtid="{D5CDD505-2E9C-101B-9397-08002B2CF9AE}" pid="17" name="LAWYER">
    <vt:lpwstr>אבשלום גיספאן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35543</vt:lpwstr>
  </property>
  <property fmtid="{D5CDD505-2E9C-101B-9397-08002B2CF9AE}" pid="24" name="NEWPARTB">
    <vt:lpwstr>02</vt:lpwstr>
  </property>
  <property fmtid="{D5CDD505-2E9C-101B-9397-08002B2CF9AE}" pid="25" name="NEWPARTC">
    <vt:lpwstr>20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380020230621</vt:lpwstr>
  </property>
  <property fmtid="{D5CDD505-2E9C-101B-9397-08002B2CF9AE}" pid="36" name="TYPE_N_DATE">
    <vt:lpwstr>38020230621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