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35569-08-17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איילון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מסחר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ושרותי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חנה בן פורת פיירשטיין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איילון מסחר ושרותי בניה בע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אנואר אל צאנע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שניהם 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אלברט הראל בכור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131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131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216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219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222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224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כולל בתוכו חלק כללי ועוד חמישה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הודו בעובדות כתב האישום ולכן הורשעו בעבירות שפורטו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בחלק הכללי</w:t>
      </w:r>
      <w:r>
        <w:rPr>
          <w:rFonts w:ascii="David" w:hAnsi="David"/>
          <w:rtl w:val="true"/>
        </w:rPr>
        <w:t xml:space="preserve"> נאמר שהנאשמת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היא חברה פרטית שהתאגדה ונרשמה כחוק ביום </w:t>
      </w:r>
      <w:r>
        <w:rPr>
          <w:rFonts w:cs="David" w:ascii="David" w:hAnsi="David"/>
        </w:rPr>
        <w:t>11.5.2010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לחברה היו עסקאות על פי דיווחיה לרשויות מס ערך מוסף משנת המס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לשנת המס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בכלל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 חנות לחומרי בניין ומ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זורי העסקאות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בתקופה הרלוונטית לכתב האישום הן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בשנת המס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המחזור היה </w:t>
      </w:r>
      <w:r>
        <w:rPr>
          <w:rFonts w:cs="David" w:ascii="David" w:hAnsi="David"/>
        </w:rPr>
        <w:t>8,868,691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ובשנת המס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המחזור היה </w:t>
      </w:r>
      <w:r>
        <w:rPr>
          <w:rFonts w:cs="David" w:ascii="David" w:hAnsi="David"/>
        </w:rPr>
        <w:t>6,127,407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שימש כמנהל פעיל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 התקופות הרלוונטיות לכתב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u w:val="single"/>
          <w:rtl w:val="true"/>
        </w:rPr>
        <w:t>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הגישו במועד לפקיד השומה את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על הכנסותיה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בשנת המס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עקב </w:t>
      </w:r>
      <w:r>
        <w:rPr>
          <w:rFonts w:ascii="David" w:hAnsi="David"/>
          <w:rtl w:val="true"/>
        </w:rPr>
        <w:t>הודייתם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 בביצוע עבירה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מכוח אחריותו כמנהל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224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bookmarkStart w:id="9" w:name="ABSTRACT_END"/>
      <w:bookmarkEnd w:id="9"/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u w:val="single"/>
          <w:rtl w:val="true"/>
        </w:rPr>
        <w:t>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הגישו במועד לפקיד השומה את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על הכנסותיה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בשנת המס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הודייתם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 בביצוע עבירה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מכוח אחריותו כמנהל 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224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u w:val="single"/>
          <w:rtl w:val="true"/>
        </w:rPr>
        <w:t>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הגיש במועד לפקיד השומה את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על הכנסותיו האישיות לשנת המס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עקב </w:t>
      </w:r>
      <w:r>
        <w:rPr>
          <w:rFonts w:ascii="David" w:hAnsi="David"/>
          <w:rtl w:val="true"/>
        </w:rPr>
        <w:t>הודייתו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בביצוע עבירה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222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u w:val="single"/>
          <w:rtl w:val="true"/>
        </w:rPr>
        <w:t>האישום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הגיש במועד לפקיד השומה את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על הכנסותיו האישיות לשנת המס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עקב </w:t>
      </w:r>
      <w:r>
        <w:rPr>
          <w:rFonts w:ascii="David" w:hAnsi="David"/>
          <w:rtl w:val="true"/>
        </w:rPr>
        <w:t>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בביצוע עבירה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27">
        <w:r>
          <w:rPr>
            <w:rStyle w:val="Hyperlink"/>
            <w:rFonts w:cs="David" w:ascii="David" w:hAnsi="David"/>
          </w:rPr>
          <w:t>222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u w:val="single"/>
          <w:rtl w:val="true"/>
        </w:rPr>
        <w:t>האישום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הגיש במועד לפקיד השומה את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על הכנסותיו האישיות לשנת המס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עקב </w:t>
      </w:r>
      <w:r>
        <w:rPr>
          <w:rFonts w:ascii="David" w:hAnsi="David"/>
          <w:rtl w:val="true"/>
        </w:rPr>
        <w:t>הודייתו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בביצוע עבירה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29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30">
        <w:r>
          <w:rPr>
            <w:rStyle w:val="Hyperlink"/>
            <w:rFonts w:cs="David" w:ascii="David" w:hAnsi="David"/>
          </w:rPr>
          <w:t>222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שהנאשמים לא הסירו את המחדלים מושא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</w:t>
      </w:r>
      <w:r>
        <w:rPr>
          <w:rFonts w:ascii="David" w:hAnsi="David"/>
          <w:rtl w:val="true"/>
        </w:rPr>
        <w:t xml:space="preserve"> ש</w:t>
      </w:r>
      <w:r>
        <w:rPr>
          <w:rFonts w:ascii="David" w:hAnsi="David"/>
          <w:rtl w:val="true"/>
        </w:rPr>
        <w:t xml:space="preserve">לעניין קביעת מתחם העונש ההולם </w:t>
      </w:r>
      <w:r>
        <w:rPr>
          <w:rFonts w:ascii="David" w:hAnsi="David"/>
          <w:rtl w:val="true"/>
        </w:rPr>
        <w:t xml:space="preserve">יש להתייחס לכל אחד מהאישומים כאירוע </w:t>
      </w:r>
      <w:r>
        <w:rPr>
          <w:rFonts w:ascii="David" w:hAnsi="David"/>
          <w:rtl w:val="true"/>
        </w:rPr>
        <w:t>נפרד ה</w:t>
      </w:r>
      <w:r>
        <w:rPr>
          <w:rFonts w:ascii="David" w:hAnsi="David"/>
          <w:rtl w:val="true"/>
        </w:rPr>
        <w:t>עומד בפני עצמו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כל אישום יש לקבוע מתחם עונש הולם </w:t>
      </w:r>
      <w:r>
        <w:rPr>
          <w:rFonts w:ascii="David" w:hAnsi="David"/>
          <w:rtl w:val="true"/>
        </w:rPr>
        <w:t>נפרד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טענה שיש לקבוע מתחם </w:t>
      </w:r>
      <w:r>
        <w:rPr>
          <w:rFonts w:ascii="David" w:hAnsi="David"/>
          <w:u w:val="single"/>
          <w:rtl w:val="true"/>
        </w:rPr>
        <w:t>אחד ויחיד</w:t>
      </w:r>
      <w:r>
        <w:rPr>
          <w:rFonts w:ascii="David" w:hAnsi="David"/>
          <w:rtl w:val="true"/>
        </w:rPr>
        <w:t xml:space="preserve"> שיחול על כל אישום </w:t>
      </w:r>
      <w:r>
        <w:rPr>
          <w:rFonts w:ascii="David" w:hAnsi="David"/>
          <w:u w:val="single"/>
          <w:rtl w:val="true"/>
        </w:rPr>
        <w:t>בנפרד</w:t>
      </w:r>
      <w:r>
        <w:rPr>
          <w:rFonts w:ascii="David" w:hAnsi="David"/>
          <w:rtl w:val="true"/>
        </w:rPr>
        <w:t xml:space="preserve"> כאשר מתחם זה </w:t>
      </w:r>
      <w:r>
        <w:rPr>
          <w:rFonts w:ascii="David" w:hAnsi="David"/>
          <w:rtl w:val="true"/>
        </w:rPr>
        <w:t>נע בין מאסר על תנאי ועד שמונה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</w:t>
      </w:r>
      <w:r>
        <w:rPr>
          <w:rFonts w:ascii="David" w:hAnsi="David"/>
          <w:rtl w:val="true"/>
        </w:rPr>
        <w:t>קנס כספי שנע 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29,200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התחייבות </w:t>
      </w:r>
      <w:r>
        <w:rPr>
          <w:rFonts w:ascii="David" w:hAnsi="David"/>
          <w:rtl w:val="true"/>
        </w:rPr>
        <w:t xml:space="preserve">כספית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מנע מלעבור עביר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יהיו </w:t>
      </w:r>
      <w:r>
        <w:rPr>
          <w:rFonts w:ascii="David" w:hAnsi="David"/>
          <w:u w:val="single"/>
          <w:rtl w:val="true"/>
        </w:rPr>
        <w:t>חמישה מתחמי עונש זהים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מתחם עונש אחד לכל חמשת האישומים כמכלול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טענה שהעונש הראוי הוא קנס סמלי לנאשמת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ובעוד שלגבי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צריך לנוע 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</w:t>
      </w:r>
      <w:r>
        <w:rPr>
          <w:rFonts w:ascii="David" w:hAnsi="David"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מאסר על תנאי שנע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שנע 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וכן התחייבות כספית לה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מנע מ</w:t>
      </w:r>
      <w:r>
        <w:rPr>
          <w:rFonts w:ascii="David" w:hAnsi="David"/>
          <w:rtl w:val="true"/>
        </w:rPr>
        <w:t xml:space="preserve">ביצוע </w:t>
      </w:r>
      <w:r>
        <w:rPr>
          <w:rFonts w:ascii="David" w:hAnsi="David"/>
          <w:rtl w:val="true"/>
        </w:rPr>
        <w:t>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א כוח </w:t>
      </w: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מים</w:t>
      </w:r>
      <w:r>
        <w:rPr>
          <w:rFonts w:ascii="David" w:hAnsi="David"/>
          <w:rtl w:val="true"/>
        </w:rPr>
        <w:t xml:space="preserve"> טען </w:t>
      </w:r>
      <w:r>
        <w:rPr>
          <w:rFonts w:ascii="David" w:hAnsi="David"/>
          <w:rtl w:val="true"/>
        </w:rPr>
        <w:t>שלגבי האישום הראשון והשני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 הוגשו לרשויות המס על ידי רואה החשבון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לטענתו </w:t>
      </w:r>
      <w:r>
        <w:rPr>
          <w:rFonts w:ascii="David" w:hAnsi="David"/>
          <w:rtl w:val="true"/>
        </w:rPr>
        <w:t xml:space="preserve">סגן פקיד שומה רמלה </w:t>
      </w:r>
      <w:r>
        <w:rPr>
          <w:rFonts w:ascii="David" w:hAnsi="David"/>
          <w:rtl w:val="true"/>
        </w:rPr>
        <w:t>התקשר לאותו רואה חשבון וביקש לזמנו לחקירה בעקבות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שהגיש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רואה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חשבון </w:t>
      </w:r>
      <w:r>
        <w:rPr>
          <w:rFonts w:ascii="David" w:hAnsi="David"/>
          <w:rtl w:val="true"/>
        </w:rPr>
        <w:t xml:space="preserve">של הנאשמים </w:t>
      </w:r>
      <w:r>
        <w:rPr>
          <w:rFonts w:ascii="David" w:hAnsi="David"/>
          <w:rtl w:val="true"/>
        </w:rPr>
        <w:t xml:space="preserve">נרתע ושלח </w:t>
      </w:r>
      <w:r>
        <w:rPr>
          <w:rFonts w:ascii="David" w:hAnsi="David"/>
          <w:rtl w:val="true"/>
        </w:rPr>
        <w:t xml:space="preserve">לסגן פקיד שומה רמלה </w:t>
      </w:r>
      <w:r>
        <w:rPr>
          <w:rFonts w:ascii="David" w:hAnsi="David"/>
          <w:rtl w:val="true"/>
        </w:rPr>
        <w:t xml:space="preserve">מכתב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בו </w:t>
      </w:r>
      <w:r>
        <w:rPr>
          <w:rFonts w:ascii="David" w:hAnsi="David"/>
          <w:rtl w:val="true"/>
        </w:rPr>
        <w:t xml:space="preserve">הודיע שהוא חוזר בו </w:t>
      </w:r>
      <w:r>
        <w:rPr>
          <w:rFonts w:ascii="David" w:hAnsi="David"/>
          <w:rtl w:val="true"/>
        </w:rPr>
        <w:t>מהדו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שהג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בשם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בא כוח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הרתעתו של רואה החשבון על ידי הודעה בעל פה שיש כוונה לזמנו לחקירה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בלתי ראויה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יש לראות בדו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שהוגשו על ידו כהסרה של המחדלים לעניין האישום הראשון והשני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 לדו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האישיים של הנאשם</w:t>
      </w:r>
      <w:r>
        <w:rPr>
          <w:rFonts w:ascii="David" w:hAnsi="David"/>
          <w:rtl w:val="true"/>
        </w:rPr>
        <w:t xml:space="preserve"> מושא ה</w:t>
      </w:r>
      <w:r>
        <w:rPr>
          <w:rFonts w:ascii="David" w:hAnsi="David"/>
          <w:rtl w:val="true"/>
        </w:rPr>
        <w:t xml:space="preserve">אישומים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כוח הנאשמים טען ש</w:t>
      </w:r>
      <w:r>
        <w:rPr>
          <w:rFonts w:ascii="David" w:hAnsi="David"/>
          <w:rtl w:val="true"/>
        </w:rPr>
        <w:t>גם הם הוגשו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 לא באופן מקוון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באופן פיזי עם קבלת חותמת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נתקבל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 ב</w:t>
      </w:r>
      <w:r>
        <w:rPr>
          <w:rFonts w:ascii="David" w:hAnsi="David"/>
          <w:rtl w:val="true"/>
        </w:rPr>
        <w:t xml:space="preserve">א כוח </w:t>
      </w: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לראות את הנאשם כמי שהסיר 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 xml:space="preserve">את המחדלים מושא </w:t>
      </w:r>
      <w:r>
        <w:rPr>
          <w:rFonts w:ascii="David" w:hAnsi="David"/>
          <w:rtl w:val="true"/>
        </w:rPr>
        <w:t>אותם אישומים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 כוח</w:t>
      </w:r>
      <w:r>
        <w:rPr>
          <w:rFonts w:ascii="David" w:hAnsi="David"/>
          <w:rtl w:val="true"/>
        </w:rPr>
        <w:t xml:space="preserve"> הנאש</w:t>
      </w:r>
      <w:r>
        <w:rPr>
          <w:rFonts w:ascii="David" w:hAnsi="David"/>
          <w:rtl w:val="true"/>
        </w:rPr>
        <w:t>מים</w:t>
      </w:r>
      <w:r>
        <w:rPr>
          <w:rFonts w:ascii="David" w:hAnsi="David"/>
          <w:rtl w:val="true"/>
        </w:rPr>
        <w:t xml:space="preserve"> טען שיש להקל בעונשו של הנאשם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>לאור העובדה שמדובר באדם 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אב לחמישה ילדים עם חובות בלשכת ההוצאה לפועל </w:t>
      </w:r>
      <w:r>
        <w:rPr>
          <w:rFonts w:ascii="David" w:hAnsi="David"/>
          <w:rtl w:val="true"/>
        </w:rPr>
        <w:t>בסכום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24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האם הוסרו המחדלים מושא 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hyperlink r:id="rId3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5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40</w:t>
      </w:r>
      <w:r>
        <w:rPr>
          <w:rFonts w:ascii="David" w:hAnsi="David"/>
          <w:rtl w:val="true"/>
        </w:rPr>
        <w:t>יא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בגזירת העונש המתאים לנאשם כאמור בסעיף </w:t>
      </w:r>
      <w:r>
        <w:rPr>
          <w:rFonts w:cs="David" w:ascii="David" w:hAnsi="David"/>
        </w:rPr>
        <w:t>40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רשאי בית משפט להתחשב בהתקיימות 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המפורטות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ובמידה שבה התקיימו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שסבר כי ראוי לתת להן משקל בנסיבות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ובלבד שהעונש לא יחרוג ממתחם העונש ההולם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468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מאמצי הנאשם לתיקון תוצאות העבירה</w:t>
      </w:r>
      <w:r>
        <w:rPr>
          <w:rFonts w:ascii="David" w:hAnsi="David"/>
          <w:rtl w:val="true"/>
        </w:rPr>
        <w:t xml:space="preserve"> ולפיצוי על הנזק שנגרם בשלה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43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start="43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ההדגשות שלי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שמדובר בעבירות מס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האלמנט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מאמצי הנאשם לתיקון תוצאות העבירה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 לידי ביטוי באמצעות מה שמכונה בפסיקה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b/>
          <w:b/>
          <w:bCs/>
          <w:rtl w:val="true"/>
        </w:rPr>
        <w:t>הסרת המחדלים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קרי דיווח לרשויות המס על ההכנסות שהיו לו או העסקאות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תשלום סכום המס שנגזל מהקופה הציבורית בעקבות העבירות שבוצעו </w:t>
      </w:r>
      <w:r>
        <w:rPr>
          <w:rFonts w:cs="David" w:ascii="David" w:hAnsi="David"/>
          <w:rtl w:val="true"/>
        </w:rPr>
        <w:t>(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6095/06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5.11.06</w:t>
      </w:r>
      <w:r>
        <w:rPr>
          <w:rFonts w:cs="David" w:ascii="David" w:hAnsi="David"/>
          <w:rtl w:val="true"/>
        </w:rPr>
        <w:t xml:space="preserve">);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8507/09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24.1.10</w:t>
      </w:r>
      <w:r>
        <w:rPr>
          <w:rFonts w:cs="David" w:ascii="David" w:hAnsi="David"/>
          <w:rtl w:val="true"/>
        </w:rPr>
        <w:t xml:space="preserve">);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6296/09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איקס איקס אקסלנט מזון אילת בע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 – מס קניה מע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9.8.09</w:t>
      </w:r>
      <w:r>
        <w:rPr>
          <w:rFonts w:cs="David" w:ascii="David" w:hAnsi="David"/>
          <w:rtl w:val="true"/>
        </w:rPr>
        <w:t xml:space="preserve">);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3873/07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בושנאק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17.10.07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לדיון שבו נשמעו </w:t>
      </w:r>
      <w:r>
        <w:rPr>
          <w:rFonts w:ascii="David" w:hAnsi="David"/>
          <w:rtl w:val="true"/>
        </w:rPr>
        <w:t>הטיעונים לעונש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התייצב </w:t>
      </w:r>
      <w:r>
        <w:rPr>
          <w:rFonts w:ascii="David" w:hAnsi="David"/>
          <w:rtl w:val="true"/>
        </w:rPr>
        <w:t>רואה החשבון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התייצב </w:t>
      </w:r>
      <w:r>
        <w:rPr>
          <w:rFonts w:ascii="David" w:hAnsi="David"/>
          <w:rtl w:val="true"/>
        </w:rPr>
        <w:t xml:space="preserve">מטעם המאשימה </w:t>
      </w:r>
      <w:r>
        <w:rPr>
          <w:rFonts w:ascii="David" w:hAnsi="David"/>
          <w:rtl w:val="true"/>
        </w:rPr>
        <w:t>סגן פקיד שומה רמלה ואשר ה</w:t>
      </w:r>
      <w:r>
        <w:rPr>
          <w:rFonts w:ascii="David" w:hAnsi="David"/>
          <w:rtl w:val="true"/>
        </w:rPr>
        <w:t xml:space="preserve">עיד </w:t>
      </w:r>
      <w:r>
        <w:rPr>
          <w:rFonts w:ascii="David" w:hAnsi="David"/>
          <w:rtl w:val="true"/>
        </w:rPr>
        <w:t>שהדו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לגבי השנים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בהתייחס לאישומים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הוגשו </w:t>
      </w:r>
      <w:r>
        <w:rPr>
          <w:rFonts w:ascii="David" w:hAnsi="David"/>
          <w:rtl w:val="true"/>
        </w:rPr>
        <w:t xml:space="preserve">על ידי </w:t>
      </w:r>
      <w:r>
        <w:rPr>
          <w:rFonts w:ascii="David" w:hAnsi="David"/>
          <w:rtl w:val="true"/>
        </w:rPr>
        <w:t xml:space="preserve">רואה החשבון של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מבלי שיהיו </w:t>
      </w:r>
      <w:r>
        <w:rPr>
          <w:rFonts w:ascii="David" w:hAnsi="David"/>
          <w:u w:val="single"/>
          <w:rtl w:val="true"/>
        </w:rPr>
        <w:t>מבוקרים כפי שנדרש על פי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הבהיר שביקש מרואה החשבון של הנאשמים להתייצב במשרדו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על מנת לחוקרו תחת אזהרה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על מנת </w:t>
      </w:r>
      <w:r>
        <w:rPr>
          <w:rFonts w:ascii="David" w:hAnsi="David"/>
          <w:rtl w:val="true"/>
        </w:rPr>
        <w:t>שימסור</w:t>
      </w:r>
      <w:r>
        <w:rPr>
          <w:rFonts w:ascii="David" w:hAnsi="David"/>
          <w:rtl w:val="true"/>
        </w:rPr>
        <w:t xml:space="preserve"> הסבר לגבי אופן עריכת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רואה החשבון סירב להגיע ו</w:t>
      </w:r>
      <w:r>
        <w:rPr>
          <w:rFonts w:ascii="David" w:hAnsi="David"/>
          <w:rtl w:val="true"/>
        </w:rPr>
        <w:t xml:space="preserve">בחר לשלוח </w:t>
      </w:r>
      <w:r>
        <w:rPr>
          <w:rFonts w:ascii="David" w:hAnsi="David"/>
          <w:rtl w:val="true"/>
        </w:rPr>
        <w:t xml:space="preserve">אליו מכתב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נוסח הבא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הדוח כאמור הוגש עם הימנעות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שוחזר מחומרי הנהלת חשבונות שנמסרו 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הדוח לא נערך לפי כללים חשבוניים ולכן לא הושלמה הביקורת ולכן אין לראות בדוח זה דוח מבוקר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מבקש לבטל את קליטתו במשרדכם</w:t>
      </w:r>
      <w:r>
        <w:rPr>
          <w:rFonts w:cs="David" w:ascii="David" w:hAnsi="David"/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 כוח</w:t>
      </w:r>
      <w:r>
        <w:rPr>
          <w:rFonts w:ascii="David" w:hAnsi="David"/>
          <w:rtl w:val="true"/>
        </w:rPr>
        <w:t xml:space="preserve"> הנאש</w:t>
      </w:r>
      <w:r>
        <w:rPr>
          <w:rFonts w:ascii="David" w:hAnsi="David"/>
          <w:rtl w:val="true"/>
        </w:rPr>
        <w:t>מים</w:t>
      </w:r>
      <w:r>
        <w:rPr>
          <w:rFonts w:ascii="David" w:hAnsi="David"/>
          <w:rtl w:val="true"/>
        </w:rPr>
        <w:t xml:space="preserve"> לא חלק על כך שרואה החשבון של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אכן שלח את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מכתב </w:t>
      </w:r>
      <w:r>
        <w:rPr>
          <w:rFonts w:ascii="David" w:hAnsi="David"/>
          <w:rtl w:val="true"/>
        </w:rPr>
        <w:t xml:space="preserve">האמור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פרוטוקול מיום </w:t>
      </w:r>
      <w:r>
        <w:rPr>
          <w:rFonts w:cs="David" w:ascii="David" w:hAnsi="David"/>
        </w:rPr>
        <w:t>21.3.2021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7-9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שהדו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לשנים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הוגשו ולכן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פשיטא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שלא הוסרו המחדלים מושא האישומים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שנוגעים לאישומים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שעניינם הד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וחות האישיים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לשנות המס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כוח </w:t>
      </w:r>
      <w:r>
        <w:rPr>
          <w:rFonts w:ascii="David" w:hAnsi="David"/>
          <w:rtl w:val="true"/>
        </w:rPr>
        <w:t>המאשימה טענה שגם הם לא הוגשו כפי שנדרש על פי דין ועל פי הנהלים הפנימיים של רשויות המס וזאת בשל העובדה שהוגשו פיזית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באופן מקוון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מקובלת עליי הטענה של המאשימה שמאחר והדו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הוגשו שלא על פי הנהלים המקובלים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הנחת היסוד היא ש</w:t>
      </w:r>
      <w:r>
        <w:rPr>
          <w:rFonts w:ascii="David" w:hAnsi="David"/>
          <w:rtl w:val="true"/>
        </w:rPr>
        <w:t xml:space="preserve">לא </w:t>
      </w:r>
      <w:r>
        <w:rPr>
          <w:rFonts w:ascii="David" w:hAnsi="David"/>
          <w:rtl w:val="true"/>
        </w:rPr>
        <w:t xml:space="preserve">הוגשו </w:t>
      </w:r>
      <w:r>
        <w:rPr>
          <w:rFonts w:ascii="David" w:hAnsi="David"/>
          <w:rtl w:val="true"/>
        </w:rPr>
        <w:t xml:space="preserve">כלל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פשיטא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שהמחדלים מושא האישומים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הם לא הוסרו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נזכיר כאן מושכלות יסוד בנו</w:t>
      </w:r>
      <w:r>
        <w:rPr>
          <w:rFonts w:ascii="David" w:hAnsi="David"/>
          <w:rtl w:val="true"/>
        </w:rPr>
        <w:t>גע לח</w:t>
      </w:r>
      <w:r>
        <w:rPr>
          <w:rFonts w:ascii="David" w:hAnsi="David"/>
          <w:rtl w:val="true"/>
        </w:rPr>
        <w:t>ובת הדיווח לרשויות המס על ידי נישומים</w:t>
      </w:r>
      <w:r>
        <w:rPr>
          <w:rFonts w:cs="David" w:ascii="David" w:hAnsi="David"/>
          <w:rtl w:val="true"/>
        </w:rPr>
        <w:t xml:space="preserve">. </w:t>
      </w:r>
      <w:hyperlink r:id="rId3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131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ascii="David" w:hAnsi="David"/>
          <w:rtl w:val="true"/>
        </w:rPr>
        <w:t xml:space="preserve"> קובע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אלה </w:t>
      </w:r>
      <w:r>
        <w:rPr>
          <w:rFonts w:ascii="David" w:hAnsi="David"/>
          <w:u w:val="single"/>
          <w:rtl w:val="true"/>
        </w:rPr>
        <w:t>חייבים</w:t>
      </w:r>
      <w:r>
        <w:rPr>
          <w:rFonts w:ascii="David" w:hAnsi="David"/>
          <w:rtl w:val="true"/>
        </w:rPr>
        <w:t xml:space="preserve"> להגיש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hyperlink r:id="rId40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131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41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5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רשומים </w:t>
      </w:r>
      <w:r>
        <w:rPr>
          <w:rFonts w:ascii="David" w:hAnsi="David"/>
          <w:rtl w:val="true"/>
        </w:rPr>
        <w:t>אלה שחייבים להגיש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יחיד תושב ישראל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חבר בני אדם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בנוסף </w:t>
      </w:r>
      <w:hyperlink r:id="rId4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117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ascii="David" w:hAnsi="David"/>
          <w:rtl w:val="true"/>
        </w:rPr>
        <w:t xml:space="preserve"> נקבע שהמנהל של חבר בני אדם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יהיה </w:t>
      </w:r>
      <w:r>
        <w:rPr>
          <w:rFonts w:ascii="David" w:hAnsi="David"/>
          <w:u w:val="single"/>
          <w:rtl w:val="true"/>
        </w:rPr>
        <w:t>אחראי</w:t>
      </w:r>
      <w:r>
        <w:rPr>
          <w:rFonts w:ascii="David" w:hAnsi="David"/>
          <w:rtl w:val="true"/>
        </w:rPr>
        <w:t xml:space="preserve"> לעשייתם של כל אותם מעשים ודברים שעשייתם נדרשת על פי פקודה זו בשביל שומת אותו חבר בני אדם ובשביל תשלום המס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קיימת חובה </w:t>
      </w:r>
      <w:r>
        <w:rPr>
          <w:rFonts w:ascii="David" w:hAnsi="David"/>
          <w:rtl w:val="true"/>
        </w:rPr>
        <w:t xml:space="preserve">סטטוטורית </w:t>
      </w:r>
      <w:r>
        <w:rPr>
          <w:rFonts w:ascii="David" w:hAnsi="David"/>
          <w:rtl w:val="true"/>
        </w:rPr>
        <w:t xml:space="preserve">על 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להגיש את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</w:t>
      </w:r>
      <w:r>
        <w:rPr>
          <w:rFonts w:ascii="David" w:hAnsi="David"/>
          <w:rtl w:val="true"/>
        </w:rPr>
        <w:t xml:space="preserve">לרשות המיסים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גם </w:t>
      </w:r>
      <w:r>
        <w:rPr>
          <w:rFonts w:ascii="David" w:hAnsi="David"/>
          <w:rtl w:val="true"/>
        </w:rPr>
        <w:t xml:space="preserve">חובה </w:t>
      </w:r>
      <w:r>
        <w:rPr>
          <w:rFonts w:ascii="David" w:hAnsi="David"/>
          <w:rtl w:val="true"/>
        </w:rPr>
        <w:t xml:space="preserve">סטטוטורית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לדאוג להגשתם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קיימת חובה </w:t>
      </w:r>
      <w:r>
        <w:rPr>
          <w:rFonts w:ascii="David" w:hAnsi="David"/>
          <w:rtl w:val="true"/>
        </w:rPr>
        <w:t xml:space="preserve">סטטוטורית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להגיש את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על הכנסותיו האישיות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הלכה פסוקה היא שעבירות מס שיש בהן יסוד של אי דיווח הן עבירות נמשכות </w:t>
      </w:r>
      <w:r>
        <w:rPr>
          <w:rFonts w:cs="David" w:ascii="David" w:hAnsi="David"/>
          <w:rtl w:val="true"/>
        </w:rPr>
        <w:t>(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5906/12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עזרא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9.9.2012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עוד לא הוגש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כפי שנדרש על פי דין ועל פי הנהלים המקובלים אצל רשות המיסים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</w:t>
      </w:r>
      <w:r>
        <w:rPr>
          <w:rFonts w:ascii="David" w:hAnsi="David"/>
          <w:rtl w:val="true"/>
        </w:rPr>
        <w:t>ממשיכה להתקיים</w:t>
      </w:r>
      <w:r>
        <w:rPr>
          <w:rFonts w:ascii="David" w:hAnsi="David"/>
          <w:rtl w:val="true"/>
        </w:rPr>
        <w:t xml:space="preserve"> יום </w:t>
      </w:r>
      <w:r>
        <w:rPr>
          <w:rFonts w:ascii="David" w:hAnsi="David"/>
          <w:rtl w:val="true"/>
        </w:rPr>
        <w:t>אחרי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הפסקה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יוגש </w:t>
      </w:r>
      <w:r>
        <w:rPr>
          <w:rFonts w:ascii="David" w:hAnsi="David"/>
          <w:rtl w:val="true"/>
        </w:rPr>
        <w:t>כפי שנדרש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צא ולמד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מעצם החובה שמוטלת על 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חובה סטטוטורית ל</w:t>
      </w:r>
      <w:r>
        <w:rPr>
          <w:rFonts w:ascii="David" w:hAnsi="David"/>
          <w:rtl w:val="true"/>
        </w:rPr>
        <w:t>הגשת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</w:t>
      </w:r>
      <w:r>
        <w:rPr>
          <w:rFonts w:ascii="David" w:hAnsi="David"/>
          <w:rtl w:val="true"/>
        </w:rPr>
        <w:t xml:space="preserve">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הנטל</w:t>
      </w:r>
      <w:r>
        <w:rPr>
          <w:rFonts w:ascii="David" w:hAnsi="David"/>
          <w:rtl w:val="true"/>
        </w:rPr>
        <w:t xml:space="preserve"> בשלב הטיעונים לעונש</w:t>
      </w:r>
      <w:r>
        <w:rPr>
          <w:rFonts w:ascii="David" w:hAnsi="David"/>
          <w:rtl w:val="true"/>
        </w:rPr>
        <w:t xml:space="preserve"> ל</w:t>
      </w:r>
      <w:r>
        <w:rPr>
          <w:rFonts w:ascii="David" w:hAnsi="David"/>
          <w:rtl w:val="true"/>
        </w:rPr>
        <w:t>הוכחת הטענה שהדו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</w:t>
      </w:r>
      <w:r>
        <w:rPr>
          <w:rFonts w:ascii="David" w:hAnsi="David"/>
          <w:rtl w:val="true"/>
        </w:rPr>
        <w:t xml:space="preserve">אכן </w:t>
      </w:r>
      <w:r>
        <w:rPr>
          <w:rFonts w:ascii="David" w:hAnsi="David"/>
          <w:rtl w:val="true"/>
        </w:rPr>
        <w:t>הוגשו ו</w:t>
      </w:r>
      <w:r>
        <w:rPr>
          <w:rFonts w:ascii="David" w:hAnsi="David"/>
          <w:rtl w:val="true"/>
        </w:rPr>
        <w:t xml:space="preserve">לכן </w:t>
      </w:r>
      <w:r>
        <w:rPr>
          <w:rFonts w:ascii="David" w:hAnsi="David"/>
          <w:rtl w:val="true"/>
        </w:rPr>
        <w:t>הוסרו המחדלים מושא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רובץ לפתח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לא עמדו ב</w:t>
      </w:r>
      <w:r>
        <w:rPr>
          <w:rFonts w:ascii="David" w:hAnsi="David"/>
          <w:rtl w:val="true"/>
        </w:rPr>
        <w:t>נטל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לעניין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לגבי הכנסותיה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 לא לעניין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לגבי הכנסותיו האישיות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מען השלמת התמונה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 לשתי החלטות של בית המשפט העליון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6095/06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5.11.06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המבקש הורשע בביצוע 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4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הוגשו פיזית לרשויות המס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הם לא היו </w:t>
      </w:r>
      <w:r>
        <w:rPr>
          <w:rFonts w:ascii="David" w:hAnsi="David"/>
          <w:rtl w:val="true"/>
        </w:rPr>
        <w:t>מבוקרים כפי שנדרש על פי דין ועל פי הנהלים של רשויות המס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טען שיש לראות בעצם הגשת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 שהם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כהסרת המחדלים מושא העבירות שבהן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טענתו לא התקבלה </w:t>
      </w:r>
      <w:r>
        <w:rPr>
          <w:rFonts w:ascii="David" w:hAnsi="David"/>
          <w:rtl w:val="true"/>
        </w:rPr>
        <w:t xml:space="preserve">על ידי </w:t>
      </w:r>
      <w:r>
        <w:rPr>
          <w:rFonts w:ascii="David" w:hAnsi="David"/>
          <w:rtl w:val="true"/>
        </w:rPr>
        <w:t>בית משפט השלום</w:t>
      </w:r>
      <w:r>
        <w:rPr>
          <w:rFonts w:ascii="David" w:hAnsi="David"/>
          <w:rtl w:val="true"/>
        </w:rPr>
        <w:t xml:space="preserve"> ונקבע שהוא לא הסיר את המחדלים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הגיש ערעור על קביעה זו </w:t>
      </w:r>
      <w:r>
        <w:rPr>
          <w:rFonts w:ascii="David" w:hAnsi="David"/>
          <w:rtl w:val="true"/>
        </w:rPr>
        <w:t xml:space="preserve">לבית המשפט המחוזי </w:t>
      </w:r>
      <w:r>
        <w:rPr>
          <w:rFonts w:ascii="David" w:hAnsi="David"/>
          <w:rtl w:val="true"/>
        </w:rPr>
        <w:t>והערעור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ריכטר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20.1.19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בביצוע חמש 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5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הגיש </w:t>
      </w:r>
      <w:r>
        <w:rPr>
          <w:rFonts w:ascii="David" w:hAnsi="David"/>
          <w:rtl w:val="true"/>
        </w:rPr>
        <w:t xml:space="preserve">באיחור </w:t>
      </w:r>
      <w:r>
        <w:rPr>
          <w:rFonts w:ascii="David" w:hAnsi="David"/>
          <w:rtl w:val="true"/>
        </w:rPr>
        <w:t>את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המס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פקיד השומה קבע שאינו מקבל את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בהיותם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סתמיים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הוגשו שלא על פי </w:t>
      </w:r>
      <w:r>
        <w:rPr>
          <w:rFonts w:ascii="David" w:hAnsi="David"/>
          <w:rtl w:val="true"/>
        </w:rPr>
        <w:t>דרישות ה</w:t>
      </w:r>
      <w:r>
        <w:rPr>
          <w:rFonts w:ascii="David" w:hAnsi="David"/>
          <w:rtl w:val="true"/>
        </w:rPr>
        <w:t>דין ועל פי הנהלים המקובלים אצל רשויות המס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שהגשת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סתמיים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אין בה משום הסרת המחדל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על </w:t>
      </w:r>
      <w:r>
        <w:rPr>
          <w:rFonts w:ascii="David" w:hAnsi="David"/>
          <w:rtl w:val="true"/>
        </w:rPr>
        <w:t xml:space="preserve">קביעה זו ועל </w:t>
      </w:r>
      <w:r>
        <w:rPr>
          <w:rFonts w:ascii="David" w:hAnsi="David"/>
          <w:rtl w:val="true"/>
        </w:rPr>
        <w:t xml:space="preserve">העונש </w:t>
      </w:r>
      <w:r>
        <w:rPr>
          <w:rFonts w:ascii="David" w:hAnsi="David"/>
          <w:rtl w:val="true"/>
        </w:rPr>
        <w:t>שהושת עליו עקב קביעה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 רשות ערעור שהגיש לבית המשפט העליון נדחתה גם 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שהמחדלים מושא האישומים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הוסרו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נחלקו בשלב הטיעונים לעונש בעניין השאלה האם לעניין קביעת מתחם העונש ההולם יש לראות במכלול האישומים שבכתב האישום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ולכן יש לקבוע מתחם עונש הולם אחד לכולם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שטענה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שמא 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חמישה אירועים נפרדים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שיש לקבוע מתחם עונש הולם נפרד לכל 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שטענה המאשימה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מקובלת עליי טענת המאשימה שמדובר בחמישה אירועים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אפנה ל</w:t>
      </w:r>
      <w:r>
        <w:rPr>
          <w:rFonts w:ascii="David" w:hAnsi="David"/>
          <w:rtl w:val="true"/>
        </w:rPr>
        <w:t>שתי ההחלטות שלהלן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253/19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ריכטר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20.1.2019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בביצוע חמש 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5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באשדוד קבע שיש לראות בכל אחת מהעבירות אירוע נפרד לצורך קביעת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ערער לבית המשפט המחוזי בבאר שבע על חומרת העונש שהושת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ערעורו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1130/20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13.4.2020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בשבע 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5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באשדוד קבע שכל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שלא הוגש הוא בגדר אירוע נפרד לצורך קב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עת </w:t>
      </w:r>
      <w:r>
        <w:rPr>
          <w:rFonts w:ascii="David" w:hAnsi="David"/>
          <w:rtl w:val="true"/>
        </w:rPr>
        <w:t xml:space="preserve">מתחם </w:t>
      </w:r>
      <w:r>
        <w:rPr>
          <w:rFonts w:ascii="David" w:hAnsi="David"/>
          <w:rtl w:val="true"/>
        </w:rPr>
        <w:t>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על חומרת העונש לבית המשפט המחוזי והערעור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ובקשת רשות ערעור שהוגשה לבית המשפט העליון נדחתה גם 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מן הראוי להבהיר </w:t>
      </w:r>
      <w:r>
        <w:rPr>
          <w:rFonts w:ascii="David" w:hAnsi="David"/>
          <w:rtl w:val="true"/>
        </w:rPr>
        <w:t>שבשתי ההחלטות שהובאו לעיל לא הי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תה התייחסות קונקרטית </w:t>
      </w:r>
      <w:r>
        <w:rPr>
          <w:rFonts w:ascii="David" w:hAnsi="David"/>
          <w:rtl w:val="true"/>
        </w:rPr>
        <w:t xml:space="preserve">על ידי </w:t>
      </w:r>
      <w:r>
        <w:rPr>
          <w:rFonts w:ascii="David" w:hAnsi="David"/>
          <w:rtl w:val="true"/>
        </w:rPr>
        <w:t xml:space="preserve">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לשאלה האם מדובר באירוע אחד או במספר 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שבית המשפט השלום קבע שמדובר במספר אירועים ובית המשפט המחוזי ובית המשפט העליון לא התערבו בקביעה האמורה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אפעל גם כאן באותה הדרך כך שיהיה מתחם עונש הולם נפרד לכל אחד מחמשת האישומים שבפניי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אקבע מתחם עונש הולם אחד שיהיה זהה לכל אחד מחמשת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כפי שטענה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חמישה מתחמי עונש שונים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נזכיר לקורא שבאישום הראשון סך ההכנסות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</w:t>
      </w:r>
      <w:r>
        <w:rPr>
          <w:rFonts w:cs="David" w:ascii="David" w:hAnsi="David"/>
          <w:u w:val="single"/>
        </w:rPr>
        <w:t>8,868,691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ובאישום השני סך ההכנסות של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בשנת המס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</w:t>
      </w:r>
      <w:r>
        <w:rPr>
          <w:rFonts w:cs="David" w:ascii="David" w:hAnsi="David"/>
          <w:u w:val="single"/>
        </w:rPr>
        <w:t>6,127,407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 והשני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באי דיווח על הכנסות </w:t>
      </w:r>
      <w:r>
        <w:rPr>
          <w:rFonts w:ascii="David" w:hAnsi="David"/>
          <w:rtl w:val="true"/>
        </w:rPr>
        <w:t xml:space="preserve">בסך כולל של </w:t>
      </w:r>
      <w:r>
        <w:rPr>
          <w:rFonts w:ascii="David" w:hAnsi="David"/>
          <w:u w:val="single"/>
          <w:rtl w:val="true"/>
        </w:rPr>
        <w:t xml:space="preserve">כמעט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מיליון ₪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מבלי לקחת בחשבון את הכנסותיו האישיות של הנאשם בשנים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לעניין האישומים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בהתאמה ואשר לא היתה אינדיקציה לגביהן לאור העדר הדיווח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מטבע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סכום הה</w:t>
      </w:r>
      <w:r>
        <w:rPr>
          <w:rFonts w:ascii="David" w:hAnsi="David"/>
          <w:rtl w:val="true"/>
        </w:rPr>
        <w:t>כנסות</w:t>
      </w:r>
      <w:r>
        <w:rPr>
          <w:rFonts w:ascii="David" w:hAnsi="David"/>
          <w:rtl w:val="true"/>
        </w:rPr>
        <w:t xml:space="preserve"> שלא דווח עליהן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משלי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לחומרה</w:t>
      </w:r>
      <w:r>
        <w:rPr>
          <w:rFonts w:ascii="David" w:hAnsi="David"/>
          <w:rtl w:val="true"/>
        </w:rPr>
        <w:t xml:space="preserve"> על גבולות מתחם העונש ההולם שיש לקבוע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u w:val="single"/>
          <w:rtl w:val="true"/>
        </w:rPr>
        <w:t>מדיניות הענישה הנוהגת</w:t>
      </w:r>
      <w:r>
        <w:rPr>
          <w:rFonts w:ascii="David" w:hAnsi="David"/>
          <w:rtl w:val="true"/>
        </w:rPr>
        <w:t xml:space="preserve"> בעבירות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5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לפסיקה שלהלן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3137/04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18.4.04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פורסם בתקדין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הורשע בבית משפט השלום בבאר שבע בעבירות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במועד לפי </w:t>
      </w:r>
      <w:hyperlink r:id="rId61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62">
        <w:r>
          <w:rPr>
            <w:rStyle w:val="Hyperlink"/>
            <w:rFonts w:cs="David" w:ascii="David" w:hAnsi="David"/>
          </w:rPr>
          <w:t>224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ascii="David" w:hAnsi="David"/>
          <w:rtl w:val="true"/>
        </w:rPr>
        <w:t xml:space="preserve"> וזאת במהלך השנים 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סבל ממצב רפואי קשה והוכרז כפושט רגל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בבאר שבע השית עליו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וקנס בסך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הגיש ערעור לבית המשפט המחוזי ועונש המאסר בפועל </w:t>
      </w:r>
      <w:r>
        <w:rPr>
          <w:rFonts w:ascii="David" w:hAnsi="David"/>
          <w:u w:val="single"/>
          <w:rtl w:val="true"/>
        </w:rPr>
        <w:t>הופחת ל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cs="David" w:ascii="David" w:hAnsi="David"/>
          <w:u w:val="single"/>
        </w:rPr>
        <w:t>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על אף שהדו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בסופו של דבר</w:t>
      </w:r>
      <w:r>
        <w:rPr>
          <w:rFonts w:ascii="David" w:hAnsi="David"/>
          <w:rtl w:val="true"/>
        </w:rPr>
        <w:t xml:space="preserve"> כן </w:t>
      </w:r>
      <w:r>
        <w:rPr>
          <w:rFonts w:ascii="David" w:hAnsi="David"/>
          <w:rtl w:val="true"/>
        </w:rPr>
        <w:t xml:space="preserve"> הוגשו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בקשתו לבית המשפט העליון למתן רשות ערעור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6095/06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) (</w:t>
      </w:r>
      <w:r>
        <w:rPr>
          <w:rFonts w:cs="David" w:ascii="David" w:hAnsi="David"/>
        </w:rPr>
        <w:t>5.11.06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על ידי בית משפט השלום בתל אביב בגין ביצוע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65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66">
        <w:r>
          <w:rPr>
            <w:rStyle w:val="Hyperlink"/>
            <w:rFonts w:cs="David" w:ascii="David" w:hAnsi="David"/>
          </w:rPr>
          <w:t>224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המחדלים לא הוסרו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מאסר על תנאי וכן קנס בסך </w:t>
      </w:r>
      <w:r>
        <w:rPr>
          <w:rFonts w:cs="David" w:ascii="David" w:hAnsi="David"/>
          <w:u w:val="single"/>
        </w:rPr>
        <w:t>10,000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המבקש לבית המשפט המחוזי בתל אביב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נדחתה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3120/14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נעים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) (</w:t>
      </w:r>
      <w:r>
        <w:rPr>
          <w:rFonts w:cs="David" w:ascii="David" w:hAnsi="David"/>
        </w:rPr>
        <w:t>8.5.14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היה עורך דין במקצועו שהפעיל משרד עצמאי לעריכת דין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במהלך השנים </w:t>
      </w:r>
      <w:r>
        <w:rPr>
          <w:rFonts w:cs="David" w:ascii="David" w:hAnsi="David"/>
        </w:rPr>
        <w:t>2002</w:t>
      </w:r>
      <w:r>
        <w:rPr>
          <w:rFonts w:cs="David" w:ascii="David" w:hAnsi="David"/>
          <w:rtl w:val="true"/>
        </w:rPr>
        <w:t xml:space="preserve"> –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הגיש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במועד על הכנסותיו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הורשע בעבירה לפי </w:t>
      </w:r>
      <w:hyperlink r:id="rId6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</w:t>
      </w:r>
      <w:r>
        <w:rPr>
          <w:rFonts w:ascii="David" w:hAnsi="David"/>
          <w:u w:val="single"/>
          <w:rtl w:val="true"/>
        </w:rPr>
        <w:t xml:space="preserve">מתחם העונש ההולם נע בין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מאסר על תנאי וכן קנס כספי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פקיד השומה הוציא לגביו שומות לפי מיטב השפיטה על סך של </w:t>
      </w:r>
      <w:r>
        <w:rPr>
          <w:rFonts w:cs="David" w:ascii="David" w:hAnsi="David"/>
        </w:rPr>
        <w:t>11,000,000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והמבקש לא הגיש השגה על כך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על תנאי וקנס בסך של </w:t>
      </w:r>
      <w:r>
        <w:rPr>
          <w:rFonts w:cs="David" w:ascii="David" w:hAnsi="David"/>
          <w:u w:val="single"/>
        </w:rPr>
        <w:t>40,000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משפט מחוזי נדחה תוך קביעה כי מתחם הענישה שנקבע על ידי בית משפט שלום הוא 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בהתחשב במדיניות הענישה הנוהגת ובנסיבותיו של המקרה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4323/14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מולדובן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,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) (</w:t>
      </w:r>
      <w:r>
        <w:rPr>
          <w:rFonts w:cs="David" w:ascii="David" w:hAnsi="David"/>
        </w:rPr>
        <w:t>26.6.14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על ידי בית משפט שלום 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2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73">
        <w:r>
          <w:rPr>
            <w:rStyle w:val="Hyperlink"/>
            <w:rFonts w:cs="David" w:ascii="David" w:hAnsi="David"/>
          </w:rPr>
          <w:t>224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ascii="David" w:hAnsi="David"/>
          <w:rtl w:val="true"/>
        </w:rPr>
        <w:t xml:space="preserve"> וכן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של אי העברה במועד של מס שנוכה לפי </w:t>
      </w:r>
      <w:hyperlink r:id="rId75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219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76">
        <w:r>
          <w:rPr>
            <w:rStyle w:val="Hyperlink"/>
            <w:rFonts w:cs="David" w:ascii="David" w:hAnsi="David"/>
          </w:rPr>
          <w:t>224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לפקודת מס הכנסה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</w:t>
      </w:r>
      <w:r>
        <w:rPr>
          <w:rFonts w:ascii="David" w:hAnsi="David"/>
          <w:u w:val="single"/>
          <w:rtl w:val="true"/>
        </w:rPr>
        <w:t xml:space="preserve">מתחם הענישה נע בין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לריצוי בעבודות שירות לבין </w:t>
      </w:r>
      <w:r>
        <w:rPr>
          <w:rFonts w:cs="David" w:ascii="David" w:hAnsi="David"/>
          <w:u w:val="single"/>
        </w:rPr>
        <w:t>14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למבקש הי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תה הרשעה קודמת בעבירות מס שבגינה ריצה עונש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המבקש לא הסיר את המחדלים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על תנאי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וכן קנס בסך של </w:t>
      </w:r>
      <w:r>
        <w:rPr>
          <w:rFonts w:cs="David" w:ascii="David" w:hAnsi="David"/>
          <w:u w:val="single"/>
        </w:rPr>
        <w:t>20,000</w:t>
      </w:r>
      <w:r>
        <w:rPr>
          <w:rFonts w:cs="David" w:ascii="David" w:hAnsi="David"/>
          <w:u w:val="single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המבקש הגיש ערעור על גזר הדין לבית משפט מחוזי 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קבע שגם אם המבקש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הסיר באופן חלקי את המחדלים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בכך די</w:t>
      </w:r>
      <w:r>
        <w:rPr>
          <w:rFonts w:ascii="David" w:hAnsi="David"/>
          <w:rtl w:val="true"/>
        </w:rPr>
        <w:t xml:space="preserve"> כדי לפטור אותו מעונש של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דחה את הערעור וכן נדחתה בקשת רשות ערעור שהגיש המבקש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  <w:tab/>
      </w:r>
      <w:hyperlink r:id="rId7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253/19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ריכטר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20.1.19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בביצוען של חמש 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7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9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סך ההכנסות שלא דווחו היה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מיליון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המחדלים לא הוסרו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המבקש הושתו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וכן חתימה על התחייבות כספית בסך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ערעורו לבית משפט מחוזי נדחה וכן נדחתה בקשת רשות ערעור שהגיש לבית משפט 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eastAsia="David" w:cs="David" w:ascii="David" w:hAnsi="David"/>
          <w:rtl w:val="true"/>
        </w:rPr>
        <w:t xml:space="preserve">            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1130/20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13.4.20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בשבע עבירות 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8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216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4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המחדלים לא הוסרו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הפעילות הכוללת של הנאשם והחברות שניהל ושהורשעו גם 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למעלה מחמישים מיליון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שלום השית עליו </w:t>
      </w:r>
      <w:r>
        <w:rPr>
          <w:rFonts w:cs="David" w:ascii="David" w:hAnsi="David"/>
          <w:u w:val="single"/>
        </w:rPr>
        <w:t>11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מאסר על תנאי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התחייבות כספית וקנס בסך </w:t>
      </w:r>
      <w:r>
        <w:rPr>
          <w:rFonts w:cs="David" w:ascii="David" w:hAnsi="David"/>
          <w:u w:val="single"/>
        </w:rPr>
        <w:t>30,000</w:t>
      </w:r>
      <w:r>
        <w:rPr>
          <w:rFonts w:cs="David" w:ascii="David" w:hAnsi="David"/>
          <w:u w:val="single"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 לבית משפט 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לאור </w:t>
      </w:r>
      <w:r>
        <w:rPr>
          <w:rFonts w:ascii="David" w:hAnsi="David"/>
          <w:rtl w:val="true"/>
        </w:rPr>
        <w:t xml:space="preserve">כל </w:t>
      </w:r>
      <w:r>
        <w:rPr>
          <w:rFonts w:ascii="David" w:hAnsi="David"/>
          <w:rtl w:val="true"/>
        </w:rPr>
        <w:t>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</w:t>
      </w:r>
      <w:r>
        <w:rPr>
          <w:rFonts w:ascii="David" w:hAnsi="David"/>
          <w:rtl w:val="true"/>
        </w:rPr>
        <w:t xml:space="preserve">האחיד </w:t>
      </w:r>
      <w:r>
        <w:rPr>
          <w:rFonts w:ascii="David" w:hAnsi="David"/>
          <w:rtl w:val="true"/>
        </w:rPr>
        <w:t>שהוצע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ושיחול על </w:t>
      </w:r>
      <w:r>
        <w:rPr>
          <w:rFonts w:ascii="David" w:hAnsi="David"/>
          <w:rtl w:val="true"/>
        </w:rPr>
        <w:t>כל אחד מהאישומים שבכתב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</w:t>
      </w:r>
      <w:r>
        <w:rPr>
          <w:rFonts w:ascii="David" w:hAnsi="David"/>
          <w:rtl w:val="true"/>
        </w:rPr>
        <w:t xml:space="preserve">נע בין מאסר על תנאי ועד שמונה חודשי מאסר וכן קנס כספי שנע בין </w:t>
      </w:r>
      <w:r>
        <w:rPr>
          <w:rFonts w:cs="David" w:ascii="David" w:hAnsi="David"/>
        </w:rPr>
        <w:t>8500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29,200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בצירוף התחייבות לה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מנע מלעבור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החלטתי לאמצו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נזכיר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שלפי </w:t>
      </w:r>
      <w:hyperlink r:id="rId8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בית המשפט מרשיע נאשם בכמה עבירות המהוות כמה אירועים וקבע מתחם עונש הולם לכל אירוע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רשאי לגזור עונש כולל לכל 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וכך אעשה במקרה שבפני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הראוי בתוך מתחמי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הודאה </w:t>
      </w:r>
      <w:r>
        <w:rPr>
          <w:rFonts w:ascii="David" w:hAnsi="David"/>
          <w:rtl w:val="true"/>
        </w:rPr>
        <w:t xml:space="preserve">של הנאשמים </w:t>
      </w:r>
      <w:r>
        <w:rPr>
          <w:rFonts w:ascii="David" w:hAnsi="David"/>
          <w:rtl w:val="true"/>
        </w:rPr>
        <w:t>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למרות העובדה שהיא נמסרה למעלה משלוש שנים לאחר מועד הגשת כתב האישום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עובדת היותו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ואב לחמישה ילדים שפרנסתם עליו והשלכות המאסר שיושת עליו על בני ביתו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אי הסרת המחדלים מושא כתב האישום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הרישום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ואשר כולל חמש הרשעות קודמות בעבירות סמים ואלימות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משית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אנואר אלצאנע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ממועד שחרורו לא יבצע עבירה מסוג עוון או פשע לפי </w:t>
      </w:r>
      <w:hyperlink r:id="rId8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בעשרה תשלומים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הראשון שבהם עד ליום </w:t>
      </w:r>
      <w:r>
        <w:rPr>
          <w:rFonts w:cs="David" w:ascii="David" w:hAnsi="David"/>
        </w:rPr>
        <w:t>1.7.21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יחתום על התחייבות כספית בסך של 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מנע 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ממועד שחרורו מביצוע עבירה מסוג עוון או מסוג פשע לפי </w:t>
      </w:r>
      <w:hyperlink r:id="rId8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מס הכנסה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ההתחייבות הכספית תחתם עוד היום במזכירות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והיא לא תחתם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יאסר למשך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לגבי הנאשמת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איילון מסחר ושירותי בניה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משית </w:t>
      </w:r>
      <w:r>
        <w:rPr>
          <w:rFonts w:ascii="David" w:hAnsi="David"/>
          <w:rtl w:val="true"/>
        </w:rPr>
        <w:t xml:space="preserve">עליה </w:t>
      </w:r>
      <w:r>
        <w:rPr>
          <w:rFonts w:ascii="David" w:hAnsi="David"/>
          <w:rtl w:val="true"/>
        </w:rPr>
        <w:t xml:space="preserve">קנס בסך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הקנס ישולם עד ליום </w:t>
      </w:r>
      <w:r>
        <w:rPr>
          <w:rFonts w:cs="David" w:ascii="David" w:hAnsi="David"/>
        </w:rPr>
        <w:t>1.7.21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0" w:name="Nitan"/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 אייר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אפריל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8"/>
      <w:footerReference w:type="default" r:id="rId8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35569-08-17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איילון מסחר ושרותי בניה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23235" TargetMode="External"/><Relationship Id="rId3" Type="http://schemas.openxmlformats.org/officeDocument/2006/relationships/hyperlink" Target="http://www.nevo.co.il/law/84255" TargetMode="External"/><Relationship Id="rId4" Type="http://schemas.openxmlformats.org/officeDocument/2006/relationships/hyperlink" Target="http://www.nevo.co.il/law/84255/117" TargetMode="External"/><Relationship Id="rId5" Type="http://schemas.openxmlformats.org/officeDocument/2006/relationships/hyperlink" Target="http://www.nevo.co.il/law/84255/131.a" TargetMode="External"/><Relationship Id="rId6" Type="http://schemas.openxmlformats.org/officeDocument/2006/relationships/hyperlink" Target="http://www.nevo.co.il/law/84255/131.a.1" TargetMode="External"/><Relationship Id="rId7" Type="http://schemas.openxmlformats.org/officeDocument/2006/relationships/hyperlink" Target="http://www.nevo.co.il/law/84255/131.a.5" TargetMode="External"/><Relationship Id="rId8" Type="http://schemas.openxmlformats.org/officeDocument/2006/relationships/hyperlink" Target="http://www.nevo.co.il/law/84255/216.4" TargetMode="External"/><Relationship Id="rId9" Type="http://schemas.openxmlformats.org/officeDocument/2006/relationships/hyperlink" Target="http://www.nevo.co.il/law/84255/219" TargetMode="External"/><Relationship Id="rId10" Type="http://schemas.openxmlformats.org/officeDocument/2006/relationships/hyperlink" Target="http://www.nevo.co.il/law/84255/222.a" TargetMode="External"/><Relationship Id="rId11" Type="http://schemas.openxmlformats.org/officeDocument/2006/relationships/hyperlink" Target="http://www.nevo.co.il/law/84255/224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ja.5" TargetMode="External"/><Relationship Id="rId14" Type="http://schemas.openxmlformats.org/officeDocument/2006/relationships/hyperlink" Target="http://www.nevo.co.il/law/70301/40jc.b" TargetMode="External"/><Relationship Id="rId15" Type="http://schemas.openxmlformats.org/officeDocument/2006/relationships/hyperlink" Target="http://www.nevo.co.il/law/84255/216.4" TargetMode="External"/><Relationship Id="rId16" Type="http://schemas.openxmlformats.org/officeDocument/2006/relationships/hyperlink" Target="http://www.nevo.co.il/law/84255" TargetMode="External"/><Relationship Id="rId17" Type="http://schemas.openxmlformats.org/officeDocument/2006/relationships/hyperlink" Target="http://www.nevo.co.il/law/84255/224a" TargetMode="External"/><Relationship Id="rId18" Type="http://schemas.openxmlformats.org/officeDocument/2006/relationships/hyperlink" Target="http://www.nevo.co.il/law/84255" TargetMode="External"/><Relationship Id="rId19" Type="http://schemas.openxmlformats.org/officeDocument/2006/relationships/hyperlink" Target="http://www.nevo.co.il/law/84255/216.4" TargetMode="External"/><Relationship Id="rId20" Type="http://schemas.openxmlformats.org/officeDocument/2006/relationships/hyperlink" Target="http://www.nevo.co.il/law/84255" TargetMode="External"/><Relationship Id="rId21" Type="http://schemas.openxmlformats.org/officeDocument/2006/relationships/hyperlink" Target="http://www.nevo.co.il/law/84255/224a" TargetMode="External"/><Relationship Id="rId22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law/84255/216.4" TargetMode="External"/><Relationship Id="rId24" Type="http://schemas.openxmlformats.org/officeDocument/2006/relationships/hyperlink" Target="http://www.nevo.co.il/law/84255/222.a" TargetMode="External"/><Relationship Id="rId25" Type="http://schemas.openxmlformats.org/officeDocument/2006/relationships/hyperlink" Target="http://www.nevo.co.il/law/84255" TargetMode="External"/><Relationship Id="rId26" Type="http://schemas.openxmlformats.org/officeDocument/2006/relationships/hyperlink" Target="http://www.nevo.co.il/law/84255/216.4" TargetMode="External"/><Relationship Id="rId27" Type="http://schemas.openxmlformats.org/officeDocument/2006/relationships/hyperlink" Target="http://www.nevo.co.il/law/84255/222.a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law/84255/216.4" TargetMode="External"/><Relationship Id="rId30" Type="http://schemas.openxmlformats.org/officeDocument/2006/relationships/hyperlink" Target="http://www.nevo.co.il/law/84255/222.a" TargetMode="External"/><Relationship Id="rId31" Type="http://schemas.openxmlformats.org/officeDocument/2006/relationships/hyperlink" Target="http://www.nevo.co.il/law/84255" TargetMode="External"/><Relationship Id="rId32" Type="http://schemas.openxmlformats.org/officeDocument/2006/relationships/hyperlink" Target="http://www.nevo.co.il/law/70301/40ja.5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049275" TargetMode="External"/><Relationship Id="rId35" Type="http://schemas.openxmlformats.org/officeDocument/2006/relationships/hyperlink" Target="http://www.nevo.co.il/case/6131155" TargetMode="External"/><Relationship Id="rId36" Type="http://schemas.openxmlformats.org/officeDocument/2006/relationships/hyperlink" Target="http://www.nevo.co.il/case/6058869" TargetMode="External"/><Relationship Id="rId37" Type="http://schemas.openxmlformats.org/officeDocument/2006/relationships/hyperlink" Target="http://www.nevo.co.il/case/5920453" TargetMode="External"/><Relationship Id="rId38" Type="http://schemas.openxmlformats.org/officeDocument/2006/relationships/hyperlink" Target="http://www.nevo.co.il/law/84255/131.a" TargetMode="External"/><Relationship Id="rId39" Type="http://schemas.openxmlformats.org/officeDocument/2006/relationships/hyperlink" Target="http://www.nevo.co.il/law/84255" TargetMode="External"/><Relationship Id="rId40" Type="http://schemas.openxmlformats.org/officeDocument/2006/relationships/hyperlink" Target="http://www.nevo.co.il/law/84255/131.a.1" TargetMode="External"/><Relationship Id="rId41" Type="http://schemas.openxmlformats.org/officeDocument/2006/relationships/hyperlink" Target="http://www.nevo.co.il/law/84255/131.a.5" TargetMode="External"/><Relationship Id="rId42" Type="http://schemas.openxmlformats.org/officeDocument/2006/relationships/hyperlink" Target="http://www.nevo.co.il/law/84255" TargetMode="External"/><Relationship Id="rId43" Type="http://schemas.openxmlformats.org/officeDocument/2006/relationships/hyperlink" Target="http://www.nevo.co.il/law/84255/117" TargetMode="External"/><Relationship Id="rId44" Type="http://schemas.openxmlformats.org/officeDocument/2006/relationships/hyperlink" Target="http://www.nevo.co.il/law/84255" TargetMode="External"/><Relationship Id="rId45" Type="http://schemas.openxmlformats.org/officeDocument/2006/relationships/hyperlink" Target="http://www.nevo.co.il/case/5590548" TargetMode="External"/><Relationship Id="rId46" Type="http://schemas.openxmlformats.org/officeDocument/2006/relationships/hyperlink" Target="http://www.nevo.co.il/case/6049275" TargetMode="External"/><Relationship Id="rId47" Type="http://schemas.openxmlformats.org/officeDocument/2006/relationships/hyperlink" Target="http://www.nevo.co.il/law/84255/216.4" TargetMode="External"/><Relationship Id="rId48" Type="http://schemas.openxmlformats.org/officeDocument/2006/relationships/hyperlink" Target="http://www.nevo.co.il/law/84255" TargetMode="External"/><Relationship Id="rId49" Type="http://schemas.openxmlformats.org/officeDocument/2006/relationships/hyperlink" Target="http://www.nevo.co.il/case/25305662" TargetMode="External"/><Relationship Id="rId50" Type="http://schemas.openxmlformats.org/officeDocument/2006/relationships/hyperlink" Target="http://www.nevo.co.il/law/84255/216.4" TargetMode="External"/><Relationship Id="rId51" Type="http://schemas.openxmlformats.org/officeDocument/2006/relationships/hyperlink" Target="http://www.nevo.co.il/law/84255" TargetMode="External"/><Relationship Id="rId52" Type="http://schemas.openxmlformats.org/officeDocument/2006/relationships/hyperlink" Target="http://www.nevo.co.il/case/25305662" TargetMode="External"/><Relationship Id="rId53" Type="http://schemas.openxmlformats.org/officeDocument/2006/relationships/hyperlink" Target="http://www.nevo.co.il/law/84255/216.4" TargetMode="External"/><Relationship Id="rId54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case/26449798" TargetMode="External"/><Relationship Id="rId56" Type="http://schemas.openxmlformats.org/officeDocument/2006/relationships/hyperlink" Target="http://www.nevo.co.il/law/84255/216.4" TargetMode="External"/><Relationship Id="rId57" Type="http://schemas.openxmlformats.org/officeDocument/2006/relationships/hyperlink" Target="http://www.nevo.co.il/law/84255" TargetMode="External"/><Relationship Id="rId58" Type="http://schemas.openxmlformats.org/officeDocument/2006/relationships/hyperlink" Target="http://www.nevo.co.il/law/84255/216.4" TargetMode="External"/><Relationship Id="rId59" Type="http://schemas.openxmlformats.org/officeDocument/2006/relationships/hyperlink" Target="http://www.nevo.co.il/law/84255" TargetMode="External"/><Relationship Id="rId60" Type="http://schemas.openxmlformats.org/officeDocument/2006/relationships/hyperlink" Target="http://www.nevo.co.il/case/5878103" TargetMode="External"/><Relationship Id="rId61" Type="http://schemas.openxmlformats.org/officeDocument/2006/relationships/hyperlink" Target="http://www.nevo.co.il/law/84255/216.4" TargetMode="External"/><Relationship Id="rId62" Type="http://schemas.openxmlformats.org/officeDocument/2006/relationships/hyperlink" Target="http://www.nevo.co.il/law/84255/224a" TargetMode="External"/><Relationship Id="rId63" Type="http://schemas.openxmlformats.org/officeDocument/2006/relationships/hyperlink" Target="http://www.nevo.co.il/law/84255" TargetMode="External"/><Relationship Id="rId64" Type="http://schemas.openxmlformats.org/officeDocument/2006/relationships/hyperlink" Target="http://www.nevo.co.il/case/6049275" TargetMode="External"/><Relationship Id="rId65" Type="http://schemas.openxmlformats.org/officeDocument/2006/relationships/hyperlink" Target="http://www.nevo.co.il/law/84255/216.4" TargetMode="External"/><Relationship Id="rId66" Type="http://schemas.openxmlformats.org/officeDocument/2006/relationships/hyperlink" Target="http://www.nevo.co.il/law/84255/224a" TargetMode="External"/><Relationship Id="rId67" Type="http://schemas.openxmlformats.org/officeDocument/2006/relationships/hyperlink" Target="http://www.nevo.co.il/law/84255" TargetMode="External"/><Relationship Id="rId68" Type="http://schemas.openxmlformats.org/officeDocument/2006/relationships/hyperlink" Target="http://www.nevo.co.il/case/16921198" TargetMode="External"/><Relationship Id="rId69" Type="http://schemas.openxmlformats.org/officeDocument/2006/relationships/hyperlink" Target="http://www.nevo.co.il/law/84255/216.4" TargetMode="External"/><Relationship Id="rId70" Type="http://schemas.openxmlformats.org/officeDocument/2006/relationships/hyperlink" Target="http://www.nevo.co.il/law/84255" TargetMode="External"/><Relationship Id="rId71" Type="http://schemas.openxmlformats.org/officeDocument/2006/relationships/hyperlink" Target="http://www.nevo.co.il/case/17014808" TargetMode="External"/><Relationship Id="rId72" Type="http://schemas.openxmlformats.org/officeDocument/2006/relationships/hyperlink" Target="http://www.nevo.co.il/law/84255/216.4" TargetMode="External"/><Relationship Id="rId73" Type="http://schemas.openxmlformats.org/officeDocument/2006/relationships/hyperlink" Target="http://www.nevo.co.il/law/84255/224a" TargetMode="External"/><Relationship Id="rId74" Type="http://schemas.openxmlformats.org/officeDocument/2006/relationships/hyperlink" Target="http://www.nevo.co.il/law/84255" TargetMode="External"/><Relationship Id="rId75" Type="http://schemas.openxmlformats.org/officeDocument/2006/relationships/hyperlink" Target="http://www.nevo.co.il/law/84255/219" TargetMode="External"/><Relationship Id="rId76" Type="http://schemas.openxmlformats.org/officeDocument/2006/relationships/hyperlink" Target="http://www.nevo.co.il/law/84255/224a" TargetMode="External"/><Relationship Id="rId77" Type="http://schemas.openxmlformats.org/officeDocument/2006/relationships/hyperlink" Target="http://www.nevo.co.il/case/25305662" TargetMode="External"/><Relationship Id="rId78" Type="http://schemas.openxmlformats.org/officeDocument/2006/relationships/hyperlink" Target="http://www.nevo.co.il/law/84255/216.4" TargetMode="External"/><Relationship Id="rId79" Type="http://schemas.openxmlformats.org/officeDocument/2006/relationships/hyperlink" Target="http://www.nevo.co.il/law/84255" TargetMode="External"/><Relationship Id="rId80" Type="http://schemas.openxmlformats.org/officeDocument/2006/relationships/hyperlink" Target="http://www.nevo.co.il/case/26449798" TargetMode="External"/><Relationship Id="rId81" Type="http://schemas.openxmlformats.org/officeDocument/2006/relationships/hyperlink" Target="http://www.nevo.co.il/law/84255/216.4" TargetMode="External"/><Relationship Id="rId82" Type="http://schemas.openxmlformats.org/officeDocument/2006/relationships/hyperlink" Target="http://www.nevo.co.il/law/84255" TargetMode="External"/><Relationship Id="rId83" Type="http://schemas.openxmlformats.org/officeDocument/2006/relationships/hyperlink" Target="http://www.nevo.co.il/law/70301/40jc.b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84255" TargetMode="External"/><Relationship Id="rId86" Type="http://schemas.openxmlformats.org/officeDocument/2006/relationships/hyperlink" Target="http://www.nevo.co.il/law/84255" TargetMode="External"/><Relationship Id="rId87" Type="http://schemas.openxmlformats.org/officeDocument/2006/relationships/hyperlink" Target="http://www.nevo.co.il/advertisements/nevo-100.doc" TargetMode="External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numbering" Target="numbering.xml"/><Relationship Id="rId91" Type="http://schemas.openxmlformats.org/officeDocument/2006/relationships/fontTable" Target="fontTable.xml"/><Relationship Id="rId92" Type="http://schemas.openxmlformats.org/officeDocument/2006/relationships/settings" Target="settings.xml"/><Relationship Id="rId9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2022-02-20T09:15:00Z</dcterms:created>
  <dc:creator> </dc:creator>
  <dc:description/>
  <cp:keywords/>
  <dc:language>en-IL</dc:language>
  <cp:lastModifiedBy>h1</cp:lastModifiedBy>
  <dcterms:modified xsi:type="dcterms:W3CDTF">2022-02-20T09:15:00Z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איילון מסחר ושרותי בניה בע#מ;אנואר אל צאנע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22923235;6049275:3;6131155;6058869;5920453;5590548;25305662:3;26449798:2;5878103;16921198;17014808</vt:lpwstr>
  </property>
  <property fmtid="{D5CDD505-2E9C-101B-9397-08002B2CF9AE}" pid="9" name="CITY">
    <vt:lpwstr>רמ'</vt:lpwstr>
  </property>
  <property fmtid="{D5CDD505-2E9C-101B-9397-08002B2CF9AE}" pid="10" name="DATE">
    <vt:lpwstr>20210427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84255/216.4:16;224a:6;222.a:3;131.a;131.a.1;131.a.5;117;219</vt:lpwstr>
  </property>
  <property fmtid="{D5CDD505-2E9C-101B-9397-08002B2CF9AE}" pid="15" name="LAWLISTTMP2">
    <vt:lpwstr>70301/40ja.5;40jc.b</vt:lpwstr>
  </property>
  <property fmtid="{D5CDD505-2E9C-101B-9397-08002B2CF9AE}" pid="16" name="LAWYER">
    <vt:lpwstr>חנה בן פורת פיירשטיין;אלברט הראל בכור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35569</vt:lpwstr>
  </property>
  <property fmtid="{D5CDD505-2E9C-101B-9397-08002B2CF9AE}" pid="23" name="NEWPARTB">
    <vt:lpwstr>08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380020210427</vt:lpwstr>
  </property>
  <property fmtid="{D5CDD505-2E9C-101B-9397-08002B2CF9AE}" pid="35" name="TYPE_N_DATE">
    <vt:lpwstr>38020210427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