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83"/>
        <w:gridCol w:w="212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38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35684-04-18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שחאדה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12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45"/>
        <w:gridCol w:w="5249"/>
      </w:tblGrid>
      <w:tr>
        <w:trPr>
          <w:trHeight w:val="355" w:hRule="atLeast"/>
        </w:trPr>
        <w:tc>
          <w:tcPr>
            <w:tcW w:w="33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</w:tc>
        <w:tc>
          <w:tcPr>
            <w:tcW w:w="524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3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24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59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34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24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פריד שחאדה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זאיד גזאונה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859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איבלמן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:  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זחאלקה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:  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פוליטי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גזאונה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 – </w:t>
      </w:r>
      <w:r>
        <w:rPr>
          <w:rtl w:val="true"/>
        </w:rPr>
        <w:t>והרשעתם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</w:t>
      </w:r>
      <w:r>
        <w:rPr>
          <w:rtl w:val="true"/>
        </w:rPr>
        <w:t>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16-17</w:t>
      </w:r>
      <w:r>
        <w:rPr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).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10.12.2017</w:t>
      </w:r>
      <w:r>
        <w:rPr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13.12.2017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ברטה</w:t>
      </w:r>
      <w:r>
        <w:rPr>
          <w:rtl w:val="true"/>
        </w:rPr>
        <w:t xml:space="preserve">'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שמחירם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/>
        <w:t>14</w:t>
      </w:r>
      <w:r>
        <w:rPr>
          <w:rtl w:val="true"/>
        </w:rPr>
        <w:t xml:space="preserve">'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'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23,000</w:t>
      </w:r>
      <w:r>
        <w:rPr>
          <w:rtl w:val="true"/>
        </w:rPr>
        <w:t xml:space="preserve"> ₪.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'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14.12.2017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11:38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'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נבאללה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14:50</w:t>
      </w:r>
      <w:r>
        <w:rPr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17:20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'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' </w:t>
      </w:r>
      <w:r>
        <w:rPr>
          <w:rtl w:val="true"/>
        </w:rPr>
        <w:t>מוכן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tl w:val="true"/>
        </w:rPr>
        <w:t xml:space="preserve">' </w:t>
      </w:r>
      <w:r>
        <w:rPr>
          <w:rtl w:val="true"/>
        </w:rPr>
        <w:t>מתוצאת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ספרד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B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513730</w:t>
      </w:r>
      <w:r>
        <w:rPr>
          <w:rtl w:val="true"/>
        </w:rPr>
        <w:t xml:space="preserve">)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שבדק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23,000</w:t>
      </w:r>
      <w:r>
        <w:rPr>
          <w:rtl w:val="true"/>
        </w:rPr>
        <w:t xml:space="preserve"> ₪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5.1.2018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M-16</w:t>
      </w:r>
      <w:r>
        <w:rPr>
          <w:rtl w:val="true"/>
        </w:rPr>
        <w:t xml:space="preserve">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67,000</w:t>
      </w:r>
      <w:r>
        <w:rPr>
          <w:rtl w:val="true"/>
        </w:rPr>
        <w:t xml:space="preserve"> ₪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7.1.2018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,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55,000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וואטסאפ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16:50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18:32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22.1.2018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23.1.2018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12:15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/>
        <w:t>25.1.2018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26.1.2018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28.1.2019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וואטסאפ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29.1.2018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₪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30.1.2018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13:50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מהשקית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K</w:t>
      </w:r>
      <w:r>
        <w:rPr/>
        <w:t>700326</w:t>
      </w:r>
      <w:r>
        <w:rPr>
          <w:rtl w:val="true"/>
        </w:rPr>
        <w:t xml:space="preserve">),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₪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האזרחים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נפאע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ובעניין</w:t>
      </w:r>
      <w:r>
        <w:rPr>
          <w:rFonts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13223/13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חסן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וזמינות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בהנחיית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ושאירעו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בראנסי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בראנסי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ולנסיבותיה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תקינות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תיווך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אופיין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גוזר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המוכר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מתווך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cs="David" w:ascii="David" w:hAnsi="David"/>
          <w:rtl w:val="true"/>
        </w:rPr>
        <w:t>; "</w:t>
      </w:r>
      <w:r>
        <w:rPr>
          <w:rFonts w:ascii="David" w:hAnsi="David"/>
          <w:rtl w:val="true"/>
        </w:rPr>
        <w:t>מתווך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שבאמצעותו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/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בראנסי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₪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M-16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צלחו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שנמכרו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67703-11-16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מוגרבי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מאק</w:t>
      </w:r>
      <w:r>
        <w:rPr>
          <w:rtl w:val="true"/>
        </w:rPr>
        <w:t>-</w:t>
      </w:r>
      <w:r>
        <w:rPr>
          <w:rtl w:val="true"/>
        </w:rPr>
        <w:t>קלמנוביץ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34003-04-18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אג</w:t>
      </w:r>
      <w:r>
        <w:rPr>
          <w:u w:val="single"/>
          <w:rtl w:val="true"/>
        </w:rPr>
        <w:t>'</w:t>
      </w:r>
      <w:r>
        <w:rPr>
          <w:rtl w:val="true"/>
        </w:rPr>
        <w:t xml:space="preserve"> (</w:t>
      </w:r>
      <w:r>
        <w:rPr/>
        <w:t>8.10.2018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>-</w:t>
      </w:r>
      <w:r>
        <w:rPr>
          <w:rtl w:val="true"/>
        </w:rPr>
        <w:t>לקח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אג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>) 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bookmarkStart w:id="12" w:name="casename_body"/>
      <w:r>
        <w:rPr>
          <w:rtl w:val="true"/>
        </w:rPr>
        <w:t>(</w:t>
      </w:r>
      <w:hyperlink r:id="rId14">
        <w:bookmarkEnd w:id="12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8284/18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16.1.2019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35186-03-18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פרידמן</w:t>
      </w:r>
      <w:r>
        <w:rPr>
          <w:rtl w:val="true"/>
        </w:rPr>
        <w:t>-</w:t>
      </w:r>
      <w:r>
        <w:rPr>
          <w:rtl w:val="true"/>
        </w:rPr>
        <w:t>פלדמן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קאסם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)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).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22-14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).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4-1.5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29-23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קלשניקוב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קלשניקוב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45-37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4-1.5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62-55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69-63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קלשניקוב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77-70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66-30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84-78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קלשניקוב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92-85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98-93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עיקרי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טענות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בא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כוח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פריד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שחאדה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ומיומנויות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לאחותו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כנימוק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נימוק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במפגשיו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מזערי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וזניח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והמפגשים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בדיעבד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לתגמל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לחלק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למתווכים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מלאכותי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לתגמל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תיווך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1,400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שבלעדיו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שלגביו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35608-04-18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קורד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28.2.2019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כרמל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u w:val="single"/>
          <w:rtl w:val="true"/>
        </w:rPr>
        <w:t>קורד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חמאיל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12.9.2016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חמאיל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שבמהלכן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50551-03-18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עטיה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13.12.2018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כרמל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u w:val="single"/>
          <w:rtl w:val="true"/>
        </w:rPr>
        <w:t>עטיה</w:t>
      </w:r>
      <w:r>
        <w:rPr>
          <w:rFonts w:cs="David" w:ascii="David" w:hAnsi="David"/>
          <w:rtl w:val="true"/>
        </w:rPr>
        <w:t xml:space="preserve">) </w:t>
      </w:r>
      <w:r>
        <w:rPr>
          <w:rFonts w:cs="Calibri" w:ascii="Calibri" w:hAnsi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אג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)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</w:t>
      </w:r>
      <w:r>
        <w:rPr>
          <w:rFonts w:cs="David" w:ascii="David" w:hAnsi="David"/>
          <w:u w:val="single"/>
          <w:rtl w:val="true"/>
        </w:rPr>
        <w:t>'</w:t>
      </w:r>
      <w:r>
        <w:rPr>
          <w:rFonts w:ascii="David" w:hAnsi="David"/>
          <w:u w:val="single"/>
          <w:rtl w:val="true"/>
        </w:rPr>
        <w:t>ולאני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28.3.2016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היו </w:t>
      </w:r>
      <w:r>
        <w:rPr>
          <w:rFonts w:ascii="David" w:hAnsi="David"/>
          <w:rtl w:val="true"/>
        </w:rPr>
        <w:t>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הוטל 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 </w:t>
        <w:tab/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בראנסי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עיקרי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טענות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בא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כוח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זאיד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גזאונה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לארבעה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בשיפוצים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שהתפתה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לקַשֵׁר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המעוניינים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לביקורים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לחופשות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שעיסוקו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שבאמצעותו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שלפעולותיה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לעיסוק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כלכלי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התבססה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בנתיב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סגירת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בשרשרת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במלואה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),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פעילות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חוקי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אוצרת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בחובה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בערכים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חברתיים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חשיבות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רבה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הגוף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חיי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ושלום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הציבור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וביטחונו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שנמכרו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במסגרת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האישומים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טיבם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כאלה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שבאמצעותם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לפגוע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הגוף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ולגדוע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חיי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חומרת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הנזק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הנגרם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בעקבות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ביצוע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כגון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מתעצמת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במקרים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כבענייננו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שבהם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נמכרים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פוטנציאל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ממשי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שהרי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סער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בתת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מקלע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באקדח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אמין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ואיכותי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באקדח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מאולתר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... </w:t>
      </w:r>
    </w:p>
    <w:p>
      <w:pPr>
        <w:pStyle w:val="Normal"/>
        <w:spacing w:lineRule="auto" w:line="360"/>
        <w:ind w:start="1440"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Arimo;Times New Roman" w:hAnsi="Arimo;Times New Roman" w:cs="Arimo;Times New Roman"/>
          <w:rtl w:val="true"/>
        </w:rPr>
        <w:t>החומרה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היתרה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הכרוכה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מביצוען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לציבור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מקבלים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להיקפיה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התפשטותה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כמענה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מסתמנת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בפסיקה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מגמה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עקבית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להחמיר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בגין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שיהלום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מידת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בערכים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המוגנים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ויקדם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מיגור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משכך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חרף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עיקרון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האינדיבידואלית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והמשקל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לנסיבותיו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לגופו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בבואו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לגזור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שהורשע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בביצוע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חמורות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לשיקולי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ההרתעה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והאינטרס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הציבורי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יודגש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שעסקאות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מערבות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מטבע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הדברים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גורמים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שונים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שחלקו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משתנה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חשיבות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מוחשית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בשרשרת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הסחר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מוחזקת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שמודעת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לתוצאות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האפשריות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העלולות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לנבוע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מהשימוש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שייעשה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שיגיע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הצרכן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הסופי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בקצה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השרשרת</w:t>
      </w:r>
      <w:r>
        <w:rPr>
          <w:rFonts w:cs="Arimo;Times New Roman" w:ascii="Arimo;Times New Roman" w:hAnsi="Arimo;Times New Roman"/>
          <w:rtl w:val="true"/>
        </w:rPr>
        <w:t>' (</w:t>
      </w:r>
      <w:hyperlink r:id="rId24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7268/11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גרבאן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7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8.8.2012</w:t>
      </w:r>
      <w:r>
        <w:rPr>
          <w:rFonts w:cs="Arimo;Times New Roman" w:ascii="Arimo;Times New Roman" w:hAnsi="Arimo;Times New Roman"/>
          <w:rtl w:val="true"/>
        </w:rPr>
        <w:t xml:space="preserve">)). </w:t>
      </w:r>
      <w:r>
        <w:rPr>
          <w:rFonts w:ascii="Arimo;Times New Roman" w:hAnsi="Arimo;Times New Roman" w:cs="Arimo;Times New Roman"/>
          <w:rtl w:val="true"/>
        </w:rPr>
        <w:t>לעניין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הצורך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בהחמרה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ציינה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כתוארה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אז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חיות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נפאע</w:t>
      </w:r>
      <w:r>
        <w:rPr>
          <w:rFonts w:cs="Arimo;Times New Roman" w:ascii="Arimo;Times New Roman" w:hAnsi="Arimo;Times New Roman"/>
          <w:rtl w:val="true"/>
        </w:rPr>
        <w:t xml:space="preserve">: </w:t>
      </w:r>
    </w:p>
    <w:p>
      <w:pPr>
        <w:pStyle w:val="Normal"/>
        <w:spacing w:lineRule="auto" w:line="360"/>
        <w:ind w:start="2160"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נוכח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מימדיה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המדאיגים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תופעת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חוקי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הסכנות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הנשקפות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היחסית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לבצען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השעה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rtl w:val="true"/>
        </w:rPr>
        <w:t>בכפוף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לנסיבותיו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הקונקרטיות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ומקרה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rtl w:val="true"/>
        </w:rPr>
        <w:t>להחמיר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בעונשי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המאסר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הנגזרים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לעומת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העונשים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הנגזרים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כיום</w:t>
      </w:r>
      <w:r>
        <w:rPr>
          <w:rFonts w:cs="Arimo;Times New Roman" w:ascii="Arimo;Times New Roman" w:hAnsi="Arimo;Times New Roman"/>
          <w:rtl w:val="true"/>
        </w:rPr>
        <w:t>" (</w:t>
      </w:r>
      <w:r>
        <w:rPr>
          <w:rFonts w:ascii="Arimo;Times New Roman" w:hAnsi="Arimo;Times New Roman" w:cs="Arimo;Times New Roman"/>
          <w:rtl w:val="true"/>
        </w:rPr>
        <w:t>שם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7</w:t>
      </w:r>
      <w:r>
        <w:rPr>
          <w:rFonts w:cs="Arimo;Times New Roman" w:ascii="Arimo;Times New Roman" w:hAnsi="Arimo;Times New Roman"/>
          <w:rtl w:val="true"/>
        </w:rPr>
        <w:t>)'."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62-55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45-37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69-63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קאסם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קורד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עטיה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אג</w:t>
      </w:r>
      <w:r>
        <w:rPr>
          <w:u w:val="single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)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דר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21.12.2014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</w:t>
      </w:r>
      <w:r>
        <w:rPr>
          <w:rFonts w:cs="Calibri" w:ascii="Calibri" w:hAnsi="Calibri"/>
          <w:b/>
          <w:bCs/>
          <w:u w:val="single"/>
          <w:rtl w:val="true"/>
        </w:rPr>
        <w:t>'</w:t>
      </w:r>
      <w:r>
        <w:rPr>
          <w:rFonts w:ascii="Calibri" w:hAnsi="Calibri" w:cs="Calibri"/>
          <w:b/>
          <w:b/>
          <w:bCs/>
          <w:u w:val="single"/>
          <w:rtl w:val="true"/>
        </w:rPr>
        <w:t>דר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)</w:t>
        <w:tab/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11789-12-16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מאזן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31.12.2017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מאק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קלמנוביץ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מאזן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</w:t>
      </w:r>
      <w:r>
        <w:rPr>
          <w:rFonts w:cs="Calibri" w:ascii="Calibri" w:hAnsi="Calibri"/>
          <w:b/>
          <w:bCs/>
          <w:u w:val="single"/>
          <w:rtl w:val="true"/>
        </w:rPr>
        <w:t>'</w:t>
      </w:r>
      <w:r>
        <w:rPr>
          <w:rFonts w:ascii="Calibri" w:hAnsi="Calibri" w:cs="Calibri"/>
          <w:b/>
          <w:b/>
          <w:bCs/>
          <w:u w:val="single"/>
          <w:rtl w:val="true"/>
        </w:rPr>
        <w:t>אבר</w:t>
      </w:r>
      <w:r>
        <w:rPr>
          <w:rFonts w:cs="Calibri" w:ascii="Calibri" w:hAnsi="Calibri"/>
          <w:rtl w:val="true"/>
        </w:rPr>
        <w:t xml:space="preserve">), –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שלגביה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שבלעדיו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והמביא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מתווכים</w:t>
      </w:r>
      <w:r>
        <w:rPr>
          <w:rtl w:val="true"/>
        </w:rPr>
        <w:t xml:space="preserve">" </w:t>
      </w:r>
      <w:r>
        <w:rPr>
          <w:rtl w:val="true"/>
        </w:rPr>
        <w:t>המסייעים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בַּתָּוֶךְ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פריד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וכנטען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היענותו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גלגולים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, </w:t>
      </w:r>
      <w:r>
        <w:rPr>
          <w:rtl w:val="true"/>
        </w:rPr>
        <w:t>שנמשכו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u w:val="single"/>
          <w:rtl w:val="true"/>
        </w:rPr>
        <w:t>השלב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5.1.2018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8-1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u w:val="single"/>
          <w:rtl w:val="true"/>
        </w:rPr>
        <w:t>השלב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22.1.2018</w:t>
      </w:r>
      <w:r>
        <w:rPr>
          <w:rtl w:val="true"/>
        </w:rPr>
        <w:t xml:space="preserve"> </w:t>
      </w:r>
      <w:r>
        <w:rPr>
          <w:rtl w:val="true"/>
        </w:rPr>
        <w:t>והסתיים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28.1.2018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12-6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10-8</w:t>
      </w:r>
      <w:r>
        <w:rPr>
          <w:rtl w:val="true"/>
        </w:rPr>
        <w:t xml:space="preserve">). </w:t>
      </w:r>
      <w:r>
        <w:rPr>
          <w:u w:val="single"/>
          <w:rtl w:val="true"/>
        </w:rPr>
        <w:t>השלב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30.1.2018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16-13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וביוזמתו</w:t>
      </w:r>
      <w:r>
        <w:rPr>
          <w:rtl w:val="true"/>
        </w:rPr>
        <w:t xml:space="preserve">, </w:t>
      </w:r>
      <w:r>
        <w:rPr>
          <w:rtl w:val="true"/>
        </w:rPr>
        <w:t>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להתגבשותה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₪.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קופון</w:t>
      </w:r>
      <w:r>
        <w:rPr>
          <w:rtl w:val="true"/>
        </w:rPr>
        <w:t xml:space="preserve">" </w:t>
      </w:r>
      <w:r>
        <w:rPr>
          <w:rtl w:val="true"/>
        </w:rPr>
        <w:t>מהעסקה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tl w:val="true"/>
        </w:rPr>
        <w:t xml:space="preserve">'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מהרובה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ומעסקת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M-16</w:t>
      </w:r>
      <w:r>
        <w:rPr>
          <w:rtl w:val="true"/>
        </w:rPr>
        <w:t>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₪.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זיאד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גזאונה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שהוזמן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23,000</w:t>
      </w:r>
      <w:r>
        <w:rPr>
          <w:rtl w:val="true"/>
        </w:rPr>
        <w:t xml:space="preserve"> ₪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₪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) –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גזאונה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) –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פריד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זיאד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גזאונה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9.4.2018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גזאונה</w:t>
      </w:r>
      <w:r>
        <w:rPr>
          <w:rtl w:val="true"/>
        </w:rPr>
        <w:t xml:space="preserve">,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9.4.2018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בניסן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ובאי 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</w:t>
      </w:r>
      <w:r>
        <w:rPr>
          <w:rFonts w:ascii="Arial" w:hAnsi="Arial" w:cs="Arial"/>
          <w:rtl w:val="true"/>
        </w:rPr>
        <w:t>בפרוטוקול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35684-04-18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פריד שחאדה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0jc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21327" TargetMode="External"/><Relationship Id="rId8" Type="http://schemas.openxmlformats.org/officeDocument/2006/relationships/hyperlink" Target="http://www.nevo.co.il/case/6473037" TargetMode="External"/><Relationship Id="rId9" Type="http://schemas.openxmlformats.org/officeDocument/2006/relationships/hyperlink" Target="http://www.nevo.co.il/case/237506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1688764" TargetMode="External"/><Relationship Id="rId12" Type="http://schemas.openxmlformats.org/officeDocument/2006/relationships/hyperlink" Target="http://www.nevo.co.il/case/20007334" TargetMode="External"/><Relationship Id="rId13" Type="http://schemas.openxmlformats.org/officeDocument/2006/relationships/hyperlink" Target="http://www.nevo.co.il/case/23875433" TargetMode="External"/><Relationship Id="rId14" Type="http://schemas.openxmlformats.org/officeDocument/2006/relationships/hyperlink" Target="http://www.nevo.co.il/case/25167034" TargetMode="External"/><Relationship Id="rId15" Type="http://schemas.openxmlformats.org/officeDocument/2006/relationships/hyperlink" Target="http://www.nevo.co.il/case/23794887" TargetMode="External"/><Relationship Id="rId16" Type="http://schemas.openxmlformats.org/officeDocument/2006/relationships/hyperlink" Target="http://www.nevo.co.il/case/23877165" TargetMode="External"/><Relationship Id="rId17" Type="http://schemas.openxmlformats.org/officeDocument/2006/relationships/hyperlink" Target="http://www.nevo.co.il/case/21472788" TargetMode="External"/><Relationship Id="rId18" Type="http://schemas.openxmlformats.org/officeDocument/2006/relationships/hyperlink" Target="http://www.nevo.co.il/case/23811621" TargetMode="External"/><Relationship Id="rId19" Type="http://schemas.openxmlformats.org/officeDocument/2006/relationships/hyperlink" Target="http://www.nevo.co.il/case/20775010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598421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13090914" TargetMode="External"/><Relationship Id="rId28" Type="http://schemas.openxmlformats.org/officeDocument/2006/relationships/hyperlink" Target="http://www.nevo.co.il/case/21725190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2019-12-05T13:17:00Z</dcterms:created>
  <dc:creator> </dc:creator>
  <dc:description/>
  <cp:keywords/>
  <dc:language>en-IL</dc:language>
  <cp:lastModifiedBy>yafit</cp:lastModifiedBy>
  <dcterms:modified xsi:type="dcterms:W3CDTF">2019-12-05T13:17:00Z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פריד שחאדה;זאיד גזאונה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5821327;6473037;23750625;21688764;20007334;23875433;25167034;23794887;23877165;21472788;23811621;20775010;5598421;13090914;21725190</vt:lpwstr>
  </property>
  <property fmtid="{D5CDD505-2E9C-101B-9397-08002B2CF9AE}" pid="9" name="CITY">
    <vt:lpwstr>י-ם</vt:lpwstr>
  </property>
  <property fmtid="{D5CDD505-2E9C-101B-9397-08002B2CF9AE}" pid="10" name="DATE">
    <vt:lpwstr>20190501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70301/144.b2:3;40jc.a</vt:lpwstr>
  </property>
  <property fmtid="{D5CDD505-2E9C-101B-9397-08002B2CF9AE}" pid="15" name="LAWYER">
    <vt:lpwstr>תמר איבלמן; נאיל זחאלקה;רואי פוליטי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35684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390020190501</vt:lpwstr>
  </property>
  <property fmtid="{D5CDD505-2E9C-101B-9397-08002B2CF9AE}" pid="34" name="TYPE_N_DATE">
    <vt:lpwstr>39020190501</vt:lpwstr>
  </property>
  <property fmtid="{D5CDD505-2E9C-101B-9397-08002B2CF9AE}" pid="35" name="VOLUME">
    <vt:lpwstr/>
  </property>
  <property fmtid="{D5CDD505-2E9C-101B-9397-08002B2CF9AE}" pid="36" name="WORDNUMPAGES">
    <vt:lpwstr>19</vt:lpwstr>
  </property>
</Properties>
</file>