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35811-08-10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גאבר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35823-08-10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חמאדה גאבר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ארנון חגיגי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רותם סרי ממשרדו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אבו עאמר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 xml:space="preserve">הנאשם הורשע על פי הודייתו ביום </w:t>
      </w:r>
      <w:r>
        <w:rPr/>
        <w:t>19.08.10</w:t>
      </w:r>
      <w:r>
        <w:rPr>
          <w:rtl w:val="true"/>
        </w:rPr>
        <w:t xml:space="preserve"> </w:t>
      </w:r>
      <w:r>
        <w:rPr>
          <w:rtl w:val="true"/>
        </w:rPr>
        <w:t xml:space="preserve">בעבירה של הסעה שלא כדין לפי סעיף 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במועד ביצוע העבירה הנאשם היה פחות מ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לפיכך הוזמן תסקיר בעניינו</w:t>
      </w:r>
      <w:r>
        <w:rPr>
          <w:rtl w:val="true"/>
        </w:rPr>
        <w:t xml:space="preserve">. </w:t>
      </w:r>
      <w:r>
        <w:rPr>
          <w:rtl w:val="true"/>
        </w:rPr>
        <w:t>לנאשם אין עבר פלילי קודם</w:t>
      </w:r>
      <w:r>
        <w:rPr>
          <w:rtl w:val="true"/>
        </w:rPr>
        <w:t xml:space="preserve">. </w:t>
      </w:r>
      <w:r>
        <w:rPr>
          <w:rtl w:val="true"/>
        </w:rPr>
        <w:t>שירות המבחן לא בא בהמלצה טיפולית בעניינו</w:t>
      </w:r>
      <w:r>
        <w:rPr>
          <w:rtl w:val="true"/>
        </w:rPr>
        <w:t xml:space="preserve">. </w:t>
      </w:r>
      <w:r>
        <w:rPr>
          <w:rtl w:val="true"/>
        </w:rPr>
        <w:t>פסיקתו של כב</w:t>
      </w:r>
      <w:r>
        <w:rPr>
          <w:rtl w:val="true"/>
        </w:rPr>
        <w:t xml:space="preserve">' </w:t>
      </w:r>
      <w:r>
        <w:rPr>
          <w:rtl w:val="true"/>
        </w:rPr>
        <w:t>בית המשפט העליון קובעת שבמקרים מעין אלה הענישה הראויה היא מאסר בפועל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במקרים מתאימים ניתן לשקול ריצוי המאסר בפועל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 xml:space="preserve">הנאשם הסיע ביום </w:t>
      </w:r>
      <w:r>
        <w:rPr/>
        <w:t>17.08.10</w:t>
      </w:r>
      <w:r>
        <w:rPr>
          <w:rtl w:val="true"/>
        </w:rPr>
        <w:t xml:space="preserve"> </w:t>
      </w:r>
      <w:r>
        <w:rPr>
          <w:rtl w:val="true"/>
        </w:rPr>
        <w:t xml:space="preserve">בכביש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במושב האחורי של רכב מסוג סוזוקי שלושה תושבי האזור</w:t>
      </w:r>
      <w:r>
        <w:rPr>
          <w:rtl w:val="true"/>
        </w:rPr>
        <w:t xml:space="preserve">, </w:t>
      </w:r>
      <w:r>
        <w:rPr>
          <w:rtl w:val="true"/>
        </w:rPr>
        <w:t>מבלי שהחזיקו בהיתר כניסה לישראל כדין</w:t>
      </w:r>
      <w:r>
        <w:rPr>
          <w:rtl w:val="true"/>
        </w:rPr>
        <w:t xml:space="preserve">. </w:t>
      </w:r>
      <w:r>
        <w:rPr>
          <w:rtl w:val="true"/>
        </w:rPr>
        <w:t>בית המשפט הורה על קבלת חוות דעת של הממונה על עבודות שירות</w:t>
      </w:r>
      <w:r>
        <w:rPr>
          <w:rtl w:val="true"/>
        </w:rPr>
        <w:t xml:space="preserve">. </w:t>
      </w:r>
      <w:r>
        <w:rPr>
          <w:rtl w:val="true"/>
        </w:rPr>
        <w:t>הנאשם נמצא מתאים לבצע עבודות שירות</w:t>
      </w:r>
      <w:r>
        <w:rPr>
          <w:rtl w:val="true"/>
        </w:rPr>
        <w:t xml:space="preserve">. </w:t>
      </w:r>
      <w:r>
        <w:rPr>
          <w:rtl w:val="true"/>
        </w:rPr>
        <w:t>לאור העובדה שהנאשם נעדר עבר פלילי קודם</w:t>
      </w:r>
      <w:r>
        <w:rPr>
          <w:rtl w:val="true"/>
        </w:rPr>
        <w:t xml:space="preserve">, </w:t>
      </w:r>
      <w:r>
        <w:rPr>
          <w:rtl w:val="true"/>
        </w:rPr>
        <w:t>לא מצאתי מקום להשית עליו את מלוא התקופה שנקבעה 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 בפועל למשך חודשיים</w:t>
      </w:r>
      <w:r>
        <w:rPr>
          <w:rtl w:val="true"/>
        </w:rPr>
        <w:t xml:space="preserve">, </w:t>
      </w:r>
      <w:r>
        <w:rPr>
          <w:rtl w:val="true"/>
        </w:rPr>
        <w:t>שיכול וירוצה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הנני מורה לנאשם להתייצב ביום </w:t>
      </w:r>
      <w:r>
        <w:rPr/>
        <w:t>07.09.11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 מחוז דרום</w:t>
      </w:r>
      <w:r>
        <w:rPr>
          <w:rtl w:val="true"/>
        </w:rPr>
        <w:t xml:space="preserve">, </w:t>
      </w:r>
      <w:r>
        <w:rPr>
          <w:rtl w:val="true"/>
        </w:rPr>
        <w:t>יחידת עבודות שירות בבאר שבע</w:t>
      </w:r>
      <w:r>
        <w:rPr>
          <w:rtl w:val="true"/>
        </w:rPr>
        <w:t xml:space="preserve">. </w:t>
      </w:r>
      <w:r>
        <w:rPr>
          <w:rtl w:val="true"/>
        </w:rPr>
        <w:t>מקום העבודה לצורך ביצוע עבודות השירות יהיה בגבעת התחמושת</w:t>
      </w:r>
      <w:r>
        <w:rPr>
          <w:rtl w:val="true"/>
        </w:rPr>
        <w:t xml:space="preserve">, </w:t>
      </w:r>
      <w:r>
        <w:rPr>
          <w:rtl w:val="true"/>
        </w:rPr>
        <w:t xml:space="preserve">בשדרות אשכול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יבצע עבירות לפי </w:t>
      </w:r>
      <w:hyperlink r:id="rId3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במשך שנתיים מהיום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ישלם קנס בסך של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  מאסר תמורתם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ישולם עד ליום </w:t>
      </w:r>
      <w:r>
        <w:rPr/>
        <w:t>01.08.11</w:t>
      </w:r>
      <w:r>
        <w:rPr>
          <w:rtl w:val="true"/>
        </w:rPr>
        <w:t xml:space="preserve">. </w:t>
      </w:r>
      <w:r>
        <w:rPr>
          <w:rtl w:val="true"/>
        </w:rPr>
        <w:t>יתרת התשלומים 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בכל חודש 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הקנס לפירעון מידי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פסילה על תנאי</w:t>
      </w:r>
      <w:r>
        <w:rPr>
          <w:rtl w:val="true"/>
        </w:rPr>
        <w:t xml:space="preserve">, </w:t>
      </w:r>
      <w:r>
        <w:rPr>
          <w:rtl w:val="true"/>
        </w:rPr>
        <w:t>שבמשך שנתיים מהיום לא יבצע את העבירה בה 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הקנס שניתן במסגרת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יכול שיקוזז למול ההפקדה שקיימת במסגרת תיק </w:t>
      </w:r>
      <w:r>
        <w:rPr/>
        <w:t>35823-08-10</w:t>
      </w:r>
      <w:r>
        <w:rPr>
          <w:rtl w:val="true"/>
        </w:rPr>
        <w:t xml:space="preserve"> </w:t>
      </w:r>
      <w:r>
        <w:rPr>
          <w:rtl w:val="true"/>
        </w:rPr>
        <w:t xml:space="preserve">בסך של </w:t>
      </w:r>
      <w:r>
        <w:rPr/>
        <w:t>7,000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יתרת הסכום בסך של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תוחזר 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 טענותיו של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שקיים סכום נוסף במזומן שמוחזק בידי המשטרה</w:t>
      </w:r>
      <w:r>
        <w:rPr>
          <w:rtl w:val="true"/>
        </w:rPr>
        <w:t xml:space="preserve">, </w:t>
      </w:r>
      <w:r>
        <w:rPr>
          <w:rtl w:val="true"/>
        </w:rPr>
        <w:t>יגיש בקשה לתיק בית משפט שתועבר לתגובת 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35811-08-10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חמאדה גאבר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189_003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2011-06-30T11:00:00Z</dcterms:created>
  <dc:creator> </dc:creator>
  <dc:description/>
  <cp:keywords/>
  <dc:language>en-IL</dc:language>
  <cp:lastModifiedBy>hofit</cp:lastModifiedBy>
  <dcterms:modified xsi:type="dcterms:W3CDTF">2011-06-30T11:00:00Z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חמאדה גאבר</vt:lpwstr>
  </property>
  <property fmtid="{D5CDD505-2E9C-101B-9397-08002B2CF9AE}" pid="4" name="CITY">
    <vt:lpwstr>רמ'</vt:lpwstr>
  </property>
  <property fmtid="{D5CDD505-2E9C-101B-9397-08002B2CF9AE}" pid="5" name="DATE">
    <vt:lpwstr>20110629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YER">
    <vt:lpwstr>ארנון חגיגי;רותם סרי ממשרדו של אבו עאמר</vt:lpwstr>
  </property>
  <property fmtid="{D5CDD505-2E9C-101B-9397-08002B2CF9AE}" pid="9" name="NEWPARTA">
    <vt:lpwstr>35811</vt:lpwstr>
  </property>
  <property fmtid="{D5CDD505-2E9C-101B-9397-08002B2CF9AE}" pid="10" name="NEWPARTB">
    <vt:lpwstr>08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380020110629</vt:lpwstr>
  </property>
  <property fmtid="{D5CDD505-2E9C-101B-9397-08002B2CF9AE}" pid="16" name="TYPE_N_DATE">
    <vt:lpwstr>38020110629</vt:lpwstr>
  </property>
  <property fmtid="{D5CDD505-2E9C-101B-9397-08002B2CF9AE}" pid="17" name="WORDNUMPAGES">
    <vt:lpwstr>3</vt:lpwstr>
  </property>
</Properties>
</file>