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35843-03-22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בן חיים 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אוגוסט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2023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086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385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30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השופט בני שגיא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סגן נשיא</w:t>
            </w:r>
          </w:p>
        </w:tc>
      </w:tr>
      <w:tr>
        <w:trPr>
          <w:trHeight w:val="724" w:hRule="atLeast"/>
          <w:cantSplit w:val="true"/>
        </w:trPr>
        <w:tc>
          <w:tcPr>
            <w:tcW w:w="244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אביב בר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אור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8363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/>
        <w:tc>
          <w:tcPr>
            <w:tcW w:w="244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יעקוב בן חיים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אייל אוחיון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ניסים זייט דדון 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ידי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יצחק איצקוביץ</w:t>
            </w:r>
            <w:r>
              <w:rPr>
                <w:rFonts w:cs="David" w:ascii="David" w:hAnsi="David"/>
                <w:rtl w:val="true"/>
              </w:rPr>
              <w:t>'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3" w:name="ABSTRACT_START"/>
      <w:bookmarkEnd w:id="13"/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;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הרלוונטי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24.12.21</w:t>
      </w:r>
      <w:r>
        <w:rPr>
          <w:rtl w:val="true"/>
        </w:rPr>
        <w:t xml:space="preserve">,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28.12.21</w:t>
      </w:r>
      <w:r>
        <w:rPr>
          <w:rtl w:val="true"/>
        </w:rPr>
        <w:t xml:space="preserve">)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הרלוונטי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6.1.22</w:t>
      </w:r>
      <w:r>
        <w:rPr>
          <w:rtl w:val="true"/>
        </w:rPr>
        <w:t xml:space="preserve">,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ובדק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8.1.22</w:t>
      </w:r>
      <w:r>
        <w:rPr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</w:t>
      </w:r>
      <w:r>
        <w:rPr>
          <w:rtl w:val="true"/>
        </w:rPr>
        <w:t xml:space="preserve">,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למשכב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RETAY</w:t>
      </w:r>
      <w:r>
        <w:rPr>
          <w:rtl w:val="true"/>
        </w:rPr>
        <w:t xml:space="preserve"> </w:t>
      </w:r>
      <w:r>
        <w:rPr>
          <w:rtl w:val="true"/>
        </w:rPr>
        <w:t>מוסב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ומהשוואה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הרלוונטי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7.6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),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שסוכמה</w:t>
      </w:r>
      <w:r>
        <w:rPr>
          <w:rtl w:val="true"/>
        </w:rPr>
        <w:t xml:space="preserve">,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חיבר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;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; </w:t>
      </w:r>
      <w:r>
        <w:rPr>
          <w:rtl w:val="true"/>
        </w:rPr>
        <w:t>ומרכז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אוחיון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נקלע</w:t>
      </w:r>
      <w:r>
        <w:rPr>
          <w:rtl w:val="true"/>
        </w:rPr>
        <w:t xml:space="preserve">"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איצקוביץ</w:t>
      </w:r>
      <w:r>
        <w:rPr>
          <w:rtl w:val="true"/>
        </w:rPr>
        <w:t xml:space="preserve">',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שליח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)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באישומי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ושלישי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)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 קשה בשלום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בבריאותו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ובאותם ערכים נלווים הקשורים בטבורם לעבירות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המציאות מלמדת כי שימוש בסמים איננו רק עניינו של המשתמש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ולעיתים רבות הופך המשתמש לנטל על החברה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ופועל בתחומי עבריינות נוספים על מנת לממן את צריכת הסם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ציינתי כי קיימת פגיעה משמעותית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וברור כי יש חשיבות לנזק הפוטנציאלי הגלום במעשיו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רק הנזק שהתממש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באשר למדיניות הענישה הנוהגת באישום הסחר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ניתן להפנות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hyperlink r:id="rId1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8367/18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נס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12.3.2019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>המערער הורשע על יסוד הודאתו בשתי עבירות של סחר בסם מסוכן מסוג קוקאין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שהתברר בפניי בערכאה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קבעתי שני מתחמי ענישה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 xml:space="preserve">כזה שנע בין </w:t>
      </w: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בגין העסקה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בה מכר המערער לסוכן </w:t>
      </w:r>
      <w:r>
        <w:rPr>
          <w:rFonts w:cs="David" w:ascii="David" w:hAnsi="David"/>
          <w:b/>
          <w:bCs/>
        </w:rPr>
        <w:t>29.9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ascii="David" w:hAnsi="David" w:cs="David"/>
          <w:rtl w:val="true"/>
        </w:rPr>
        <w:t xml:space="preserve"> קוקאין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 xml:space="preserve">וכזה שנע בין 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בגין העסקה 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בה מכר המערער לסוכן </w:t>
      </w:r>
      <w:r>
        <w:rPr>
          <w:rFonts w:cs="David" w:ascii="David" w:hAnsi="David"/>
          <w:b/>
          <w:bCs/>
        </w:rPr>
        <w:t>50.4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ascii="David" w:hAnsi="David" w:cs="David"/>
          <w:rtl w:val="true"/>
        </w:rPr>
        <w:t xml:space="preserve"> 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באשר למתחם ציינתי כי אלמלא עתירת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היה מקום לקבוע מתחם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בנסיבות האישום השני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עונשו של הנאשם שהורשע בעבר בעבירות סמים ואף ריצה תקופות מאסר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הועמד על ידי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 xml:space="preserve">בית המשפט העליון קיבל את ערעור הנאשם והעמיד את תקופת המאסר על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וזאת מבלי להתערב במתחם הענישה שנקבע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hyperlink r:id="rId1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3060/15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רגייג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21.07.2015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 xml:space="preserve">המערער הורשע על יסוד הודאתו בעבירה של סחר בסם מסוכן בכך שמכר לסוכן משטרתי סם מסוכן מסוג קוקאין במשקל של </w:t>
      </w:r>
      <w:r>
        <w:rPr>
          <w:rFonts w:cs="David" w:ascii="David" w:hAnsi="David"/>
          <w:b/>
          <w:bCs/>
        </w:rPr>
        <w:t>150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המחוזי </w:t>
      </w:r>
      <w:r>
        <w:rPr>
          <w:rFonts w:ascii="David" w:hAnsi="David" w:cs="David"/>
          <w:b/>
          <w:b/>
          <w:bCs/>
          <w:rtl w:val="true"/>
        </w:rPr>
        <w:t xml:space="preserve">קבע מתחם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ascii="David" w:hAnsi="David" w:cs="David"/>
          <w:rtl w:val="true"/>
        </w:rPr>
        <w:t xml:space="preserve"> וגזר על המערער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ערעור לבית המשפט העליון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hyperlink r:id="rId1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3117/12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ארביב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06.09.2012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>המערער הורשע על יסוד הודאתו בעבירות של סחר בסם מסוכן והחזקת סם שלא לצריכה עצמית בכך שמכר לסוכן משטרתי סם מסוכן מסוג קוקאין במשקל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</w:rPr>
        <w:t>100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המחוזי גזר עליו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ערעור לבית המשפט העליון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hyperlink r:id="rId1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29707-03-22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פדל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15.2.2023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>הנאשם השני בתיק הורשע על יסוד הודאתו בעבירה אחת של סחר בסם 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בכך שביצע שתי עסקאות למכירת קוקאין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בעסקה הראשונה מכר הנאשם לסוכן </w:t>
      </w:r>
      <w:r>
        <w:rPr>
          <w:rFonts w:cs="David" w:ascii="David" w:hAnsi="David"/>
          <w:b/>
          <w:bCs/>
        </w:rPr>
        <w:t>98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ascii="David" w:hAnsi="David" w:cs="David"/>
          <w:rtl w:val="true"/>
        </w:rPr>
        <w:t xml:space="preserve"> של סם מסוכן מסוג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ובעסקה השניה מכר הנאשם לסוכן </w:t>
      </w:r>
      <w:r>
        <w:rPr>
          <w:rFonts w:cs="David" w:ascii="David" w:hAnsi="David"/>
          <w:b/>
          <w:bCs/>
        </w:rPr>
        <w:t>170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ascii="David" w:hAnsi="David" w:cs="David"/>
          <w:rtl w:val="true"/>
        </w:rPr>
        <w:t xml:space="preserve"> של סם מסוכן מסוג 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מאחר שדובר באישום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קבעתי מתחם ענישה כולל לשתי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47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70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והטלתי על הנאשם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hyperlink r:id="rId1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35274-02-19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נדף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10.2.2020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דובר בשתי עסקאות למכירת קוקאין שבוצעו אל מול אותו 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ביחס לעסקה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בה מכר הנאשם לסוכן </w:t>
      </w:r>
      <w:r>
        <w:rPr>
          <w:rFonts w:cs="David" w:ascii="David" w:hAnsi="David"/>
          <w:b/>
          <w:bCs/>
        </w:rPr>
        <w:t>35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ascii="David" w:hAnsi="David" w:cs="David"/>
          <w:rtl w:val="true"/>
        </w:rPr>
        <w:t xml:space="preserve">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נקבע </w:t>
      </w:r>
      <w:r>
        <w:rPr>
          <w:rFonts w:ascii="David" w:hAnsi="David" w:cs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וביחס לעסקה השניה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בה מכר הנאשם לסוכן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גרם</w:t>
      </w:r>
      <w:r>
        <w:rPr>
          <w:rFonts w:ascii="David" w:hAnsi="David" w:cs="David"/>
          <w:rtl w:val="true"/>
        </w:rPr>
        <w:t xml:space="preserve">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נקבע </w:t>
      </w:r>
      <w:r>
        <w:rPr>
          <w:rFonts w:ascii="David" w:hAnsi="David" w:cs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נגזרו על הנאשם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 מאסר תוך הפעלת מאסר מותנה בן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בחופף ובמצטבר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כך שהתקופה הכוללת הועמדה על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על יסוד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נראה כי המתחם המוצע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ידי התביעה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הוא מתחם 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ואם בכל זאת ראיתי לקבוע מתחם נמוך במעט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עשיתי כן נוכח מעורבותו של אותו אחר באישום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שנראה שחלקו היה דומיננטי הן ביחס להספקת הסם והן ביחס לקביעת המחיר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נראה כי אלמלא אותו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יכול היה הנאשם לקדם את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עדיין 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חלקו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באישום זה הוא משמעותי  ודומיננטי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והשפעת מעשיו של האחר על המתחם צריכה להיות נמוכה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לקבוע מתחמי ענישה באופן הבא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rtl w:val="true"/>
        </w:rPr>
        <w:t xml:space="preserve">בעניינו של האישום הראשון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 xml:space="preserve">הרלוונטי לנאשם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מתחם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rtl w:val="true"/>
        </w:rPr>
        <w:t xml:space="preserve">בעניינו של האישום השלישי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הרלוונטי לשני הנאשמים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נראה כי לא הייתה מחלוקת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ויש לקבוע מתחם הנע בין מספר חודשי מאסר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  <w:rtl w:val="true"/>
        </w:rPr>
        <w:t xml:space="preserve">קביעת המתחם באישום הנשק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 w:cs="David"/>
          <w:u w:val="single"/>
          <w:rtl w:val="true"/>
        </w:rPr>
        <w:t>האישום השני</w:t>
      </w:r>
      <w:r>
        <w:rPr>
          <w:rFonts w:cs="David" w:ascii="David" w:hAnsi="David"/>
          <w:u w:val="single"/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לאורך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ובתקופה האחרונה תוך מתן דגש 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מגוון הערכים המוגנים הנפגעים כתוצאה מעבירות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שהמרכזי בהם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הצורך בשמירה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הצורך בהחמרת הענישה בעבירות מסוג זה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Arial" w:hAnsi="Arial" w:cs="Arial"/>
        </w:rPr>
      </w:pPr>
      <w:r>
        <w:rPr>
          <w:rFonts w:ascii="David" w:hAnsi="David" w:cs="David"/>
          <w:rtl w:val="true"/>
        </w:rPr>
        <w:t>וכך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בין היתר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David"/>
          <w:b/>
          <w:b/>
          <w:bCs/>
          <w:rtl w:val="true"/>
        </w:rPr>
        <w:t>עבירות הנשק הפכו זה מכבר למכת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חומרתן היתרה של 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פגיעתן הקשה והשפעתן על תחושת הביטחון של כלל אזרחי המדינה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זכו להתייחסות נרחבת בפסקי דין רבים של בית משפט 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 xml:space="preserve">צוין כי עבירות אלה מייצרות במהותן איומים וסיכונים משמעותיים לשלום הציבור וביטחונו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19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1695/22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גנאים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29.3.2022</w:t>
      </w:r>
      <w:r>
        <w:rPr>
          <w:rFonts w:cs="David" w:ascii="David" w:hAnsi="David"/>
          <w:b/>
          <w:bCs/>
          <w:rtl w:val="true"/>
        </w:rPr>
        <w:t xml:space="preserve">)), </w:t>
      </w:r>
      <w:r>
        <w:rPr>
          <w:rFonts w:ascii="David" w:hAnsi="David" w:cs="David"/>
          <w:b/>
          <w:b/>
          <w:bCs/>
          <w:rtl w:val="true"/>
        </w:rPr>
        <w:t>והן מהוות בסיס לביצוע פעילות 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פשיעה לאומנית ופעולות טרור מסכנות חיים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20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ביאדסה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10.5.2022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 w:cs="David"/>
          <w:b/>
          <w:b/>
          <w:bCs/>
          <w:rtl w:val="true"/>
        </w:rPr>
        <w:t>זמינותם ונגישותם של כלי נשק בלתי חוקיים מאפשרות שימוש תדיר בנשק ככלי לפתרון סכסוכים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לעיתים תוך ירי באזורי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וגביית קורבנות בגוף ובנפש</w:t>
      </w:r>
      <w:r>
        <w:rPr>
          <w:rFonts w:cs="David" w:ascii="David" w:hAnsi="David"/>
          <w:rtl w:val="true"/>
        </w:rPr>
        <w:t>" (</w:t>
      </w:r>
      <w:hyperlink r:id="rId2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טחאינה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13.6.2022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r>
        <w:rPr>
          <w:rFonts w:ascii="David" w:hAnsi="David" w:cs="David"/>
          <w:rtl w:val="true"/>
        </w:rPr>
        <w:t>עוד נקבע כי יש לראות את תופעת הסחר הבלתי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חוקי בנשק בחומרה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בהיותה יוצרת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מחתרתי וסוללת את הדרך לפעילות אלימה ובלתי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ניסיון החיים מלמד כי נשק שמקורו מפוקפק מוצא את דרכו לידיים עברייניות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סחר בלתי חוקי בנשק מהווה אפוא נדבך משמעותי בשרשרת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וגדיעתו מהווה תנאי הכרחי למיגורם של מעשי אלימות חמורים 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 xml:space="preserve">ראו </w:t>
      </w:r>
      <w:hyperlink r:id="rId2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4.12.2011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דהוד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19.01.2017</w:t>
      </w:r>
      <w:r>
        <w:rPr>
          <w:rFonts w:cs="David" w:ascii="David" w:hAnsi="David"/>
          <w:rtl w:val="true"/>
        </w:rPr>
        <w:t>)].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r>
        <w:rPr>
          <w:rFonts w:ascii="David" w:hAnsi="David" w:cs="David"/>
          <w:rtl w:val="true"/>
        </w:rPr>
        <w:t>וכך קבע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השופט שטיין בפסק הדין ב</w:t>
      </w:r>
      <w:hyperlink r:id="rId2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פלוני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>): "</w:t>
      </w:r>
      <w:r>
        <w:rPr>
          <w:rFonts w:ascii="David" w:hAnsi="David" w:cs="David"/>
          <w:b/>
          <w:b/>
          <w:bCs/>
          <w:rtl w:val="true"/>
        </w:rPr>
        <w:t>הבהרתי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בפסק הדין שניתן באחרונה בהסכמת חבריי השופטים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אלרון וי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כשר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 w:cs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 w:cs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 w:cs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 w:cs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 w:cs="David"/>
          <w:b/>
          <w:b/>
          <w:bCs/>
          <w:rtl w:val="true"/>
        </w:rPr>
        <w:t xml:space="preserve">בית משפט שמקל בעונשו של עבריין נשק מכביד על החברה שנאלצת להגן על עצמה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 w:cs="David"/>
          <w:b/>
          <w:b/>
          <w:bCs/>
          <w:rtl w:val="true"/>
        </w:rPr>
        <w:t xml:space="preserve">על כל בניה ובנותיה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 w:cs="David"/>
          <w:b/>
          <w:b/>
          <w:bCs/>
          <w:rtl w:val="true"/>
        </w:rPr>
        <w:t>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 w:cs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 w:cs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 w:cs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 w:cs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r>
        <w:rPr>
          <w:rFonts w:ascii="David" w:hAnsi="David" w:cs="David"/>
          <w:rtl w:val="true"/>
        </w:rPr>
        <w:t>מגמת ההחמרה בענישה בעבירות הנשק באה לידי ביטוי גם בחקיקה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במסגרת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שנכנס לתוקפו ביום </w:t>
      </w:r>
      <w:r>
        <w:rPr>
          <w:rFonts w:cs="David" w:ascii="David" w:hAnsi="David"/>
        </w:rPr>
        <w:t>8.12.21</w:t>
      </w:r>
      <w:r>
        <w:rPr>
          <w:rFonts w:cs="David" w:ascii="David" w:hAnsi="David"/>
          <w:rtl w:val="true"/>
        </w:rPr>
        <w:t xml:space="preserve">. </w:t>
      </w:r>
      <w:hyperlink r:id="rId26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 w:cs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2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קובע עונשי מינימום ביחס לעבירות נשק שונות ובהן העבירה מושא ההליך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באופן שהעונש שיושת לא יפחת מרבע 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אלא מטעמים מיוחדים שיירשמו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וכי עונש מאסר זה בהיעדר טעמים מיוחדים לא יהיה כולו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אין חולק כי העבירה בעניינו בוצעה לאחר תיקון החוק כך העונש הקבוע בצידה של העבירה עומד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ועונש המינימום עומד על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שאפשר כי יושת בחלקו על תנאי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לצד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חולק כי במסגרת קביעת המתחם יש להביא בחשבון את חלקו ותרומתו של כל אחד מהנאשמים למסכת העבריינית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לא ניתן להתעלם מהעובדה שבניגוד לאישום הסמים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בו הציע הנאשם לסוכן לרכוש ממנו סמים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 xml:space="preserve">באישום הנשק היה זה הסוכן שפנה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והעלה בפניו את בקשתו לרכישת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מכתב האישום המתוקן עולה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אינו מצוי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עולמות הנשק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אולם על רקע הקשר החברי בינו לבין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ובקשת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יצר קשר עם אותו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העביר את הנשק לסוכן באמצעות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מדובר בצבר נסיבות ייחודיות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המלמד כי חלקם של שני הנאשמים במסכת העובדתית נמוך באופן משמעותי מחלקו של אותו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שלא אותר ונעצר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שכן אותו אחר הוא זה שסיפק את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הוא זה שקבע את המחיר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היה הגורם הדומיננטי בביצוע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חלקו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מסתכם ביצירת קשר עם אותו אחר 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חיבורו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לבקשת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וחלקו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מסתכם בקבלת הנשק ומסירתו המידית לסוכן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משכך הם פני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אינני רואה מקום לאותה הבחנה בעוצמת החומרה הטמונה במעשיהם של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ויש לראות את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לטעמי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כמשקפים עוצמה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הנמוכה באופן משמעותי מהעוצמה הנשקפת מתרומתו של אותו אחר למכירת האקדח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מעבר לאמור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יש לשקלל במסגרת המתחם גם את העובדה כי דובר באקדח מוסב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בשונה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לדוגמא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מאקדח תקני או מכלי נשק התקפיים אחרים כתתי מקלעים או מטעני חבלה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בבחינת מדיניות הענישה הנוהגת ביחס לעבירות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פסקי הדין הבאים כרלוונטיים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hyperlink r:id="rId2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עיסא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25.4.2023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>המשיב הורשע על יסוד הודאתו במסגרת הסדר טיעון בעבירת סחר בנשק ובתחמושת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בכך שמכר בצוותא עם אחר 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המחוזי קבע בעניינו </w:t>
      </w:r>
      <w:r>
        <w:rPr>
          <w:rFonts w:ascii="David" w:hAnsi="David" w:cs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ascii="David" w:hAnsi="David" w:cs="David"/>
          <w:rtl w:val="true"/>
        </w:rPr>
        <w:t xml:space="preserve"> וגזר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ערעור המדינה על קולת העונש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בית המשפט העליון קבע כי מתחם העונש שנקבע בעניינו של המשיב סוטה לקולה מהמתחם הראוי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והחמיר את עונשו כך שיעמוד על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חולק כי מדובר בנסיבות פחותות בחומרתן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הן בהתייחס להבחנה בין רובה סער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לבין אקדח מוסב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והן ביחס לתרומתם הנמוכה יחסית של שני הנאשמים לביצוע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וזאת בהשוואה לנאשם </w:t>
      </w:r>
      <w:r>
        <w:rPr>
          <w:rFonts w:ascii="David" w:hAnsi="David" w:cs="David"/>
          <w:b/>
          <w:b/>
          <w:bCs/>
          <w:rtl w:val="true"/>
        </w:rPr>
        <w:t>עיסא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hyperlink r:id="rId2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4837/20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29.6.2021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 xml:space="preserve">המערער הורשע בעבירות של רכישה וסחר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בכך שרכש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סמוך לשנת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ומכר אותו לאחר תמורת קיזוז חוב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רכש המערער אקדח נוסף וכחודש לאחר מכן מכר אותו לאותו אדם ממנו רכש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הורשע המערער בעבירה של החזקת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רובה מאולתר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למשך שעתיים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המחוזי קבע </w:t>
      </w:r>
      <w:r>
        <w:rPr>
          <w:rFonts w:ascii="David" w:hAnsi="David" w:cs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ascii="David" w:hAnsi="David" w:cs="David"/>
          <w:rtl w:val="true"/>
        </w:rPr>
        <w:t xml:space="preserve"> וגזר עליו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hyperlink r:id="rId3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57001-11-21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מוסא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</w:t>
      </w:r>
      <w:r>
        <w:rPr>
          <w:rFonts w:cs="David" w:ascii="David" w:hAnsi="David"/>
        </w:rPr>
        <w:t>3.2023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 w:cs="David"/>
          <w:rtl w:val="true"/>
        </w:rPr>
        <w:t xml:space="preserve">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הנאשם הורשע על יסוד הודאתו </w:t>
      </w:r>
      <w:r>
        <w:rPr>
          <w:rFonts w:ascii="David" w:hAnsi="David" w:cs="David"/>
          <w:b/>
          <w:b/>
          <w:bCs/>
          <w:rtl w:val="true"/>
        </w:rPr>
        <w:t>בעבירה של סחר בנשק ועבירות של נשיאה והובלה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בכך שנכח בעת ביצוע עסקת סחר של אקדח מתוצרת </w:t>
      </w:r>
      <w:r>
        <w:rPr>
          <w:rFonts w:cs="David" w:ascii="David" w:hAnsi="David"/>
          <w:color w:val="000000"/>
          <w:shd w:fill="FFFFFF" w:val="clear"/>
        </w:rPr>
        <w:t>Bernardelli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hd w:fill="FFFFFF" w:val="clear"/>
          <w:rtl w:val="true"/>
        </w:rPr>
        <w:t>ו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30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hd w:fill="FFFFFF" w:val="clear"/>
          <w:rtl w:val="true"/>
        </w:rPr>
        <w:t>כדורים לסוכן משטרתי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hd w:fill="FFFFFF" w:val="clear"/>
          <w:rtl w:val="true"/>
        </w:rPr>
        <w:t xml:space="preserve">וקישר בין הסוכן לבין נאשמים </w:t>
      </w:r>
      <w:r>
        <w:rPr>
          <w:rFonts w:cs="David" w:ascii="David" w:hAnsi="David"/>
          <w:color w:val="000000"/>
          <w:shd w:fill="FFFFFF" w:val="clear"/>
        </w:rPr>
        <w:t>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cs="David"/>
          <w:color w:val="000000"/>
          <w:shd w:fill="FFFFFF" w:val="clear"/>
          <w:rtl w:val="true"/>
        </w:rPr>
        <w:t>ו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hd w:fill="FFFFFF" w:val="clear"/>
          <w:rtl w:val="true"/>
        </w:rPr>
        <w:t>במסגרת הודאת הנאשם הצהירה התביעה כי מוסכם שהנאשם לא היה מקור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בעניינו </w:t>
      </w:r>
      <w:r>
        <w:rPr>
          <w:rFonts w:ascii="David" w:hAnsi="David" w:cs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 xml:space="preserve">חודשי מאסר </w:t>
      </w:r>
      <w:r>
        <w:rPr>
          <w:rFonts w:ascii="David" w:hAnsi="David" w:cs="David"/>
          <w:rtl w:val="true"/>
        </w:rPr>
        <w:t xml:space="preserve">וגזר עליו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/>
      </w:pPr>
      <w:hyperlink r:id="rId3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54460-03-21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טסמה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 w:cs="David"/>
          <w:rtl w:val="true"/>
        </w:rPr>
        <w:t>הנאשם הורשע על יסוד הודאתו במסגרת הסדר טיעון בחמש עבירות של סחר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שתי עבירות של סחר בנשק ותחמושת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b/>
          <w:b/>
          <w:bCs/>
          <w:rtl w:val="true"/>
        </w:rPr>
        <w:t>שתי עבירות של נשיאת נשק ושתי עבירות של 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ביחס לעבירות הנשק קבע בית המשפט מתחם נפרד </w:t>
      </w:r>
      <w:r>
        <w:rPr>
          <w:rFonts w:ascii="David" w:hAnsi="David" w:cs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ascii="David" w:hAnsi="David" w:cs="David"/>
          <w:rtl w:val="true"/>
        </w:rPr>
        <w:t xml:space="preserve"> וגזר עליו עונש כולל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תוך התחשבות בהליך השיקומי שעבר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hyperlink r:id="rId3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18039-10-21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שניור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15.1.2023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הנאשם הורשע על יסוד הודאתו במסגרת הסדר טיעון בביצוע </w:t>
      </w:r>
      <w:r>
        <w:rPr>
          <w:rFonts w:ascii="David" w:hAnsi="David" w:cs="David"/>
          <w:b/>
          <w:b/>
          <w:bCs/>
          <w:rtl w:val="true"/>
        </w:rPr>
        <w:t>שתי עבירות של סחר בנשק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באחת מהן גם מחסנית ותחמושת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</w:t>
      </w:r>
      <w:r>
        <w:rPr>
          <w:rFonts w:ascii="David" w:hAnsi="David" w:cs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ascii="David" w:hAnsi="David" w:cs="David"/>
          <w:rtl w:val="true"/>
        </w:rPr>
        <w:t xml:space="preserve"> וגזר עליו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rtl w:val="true"/>
        </w:rPr>
        <w:t>בהינתן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ותוך מתן משקל גם לנסיבות הייחודיות של העסקה הקונקרטית ולחלקם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ראיתי לקבוע מתחם </w:t>
      </w:r>
      <w:r>
        <w:rPr>
          <w:rFonts w:ascii="David" w:hAnsi="David" w:cs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spacing w:lineRule="auto" w:line="360" w:before="240" w:after="240"/>
        <w:ind w:start="697" w:end="0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  <w:rtl w:val="true"/>
        </w:rPr>
        <w:t>קביעת העונש המתאים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בקביעת העונש המתאים יש מקום לשקלל את אותן 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שאעמוד עליהן בהמשך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דומני כי לא ניתן להתעלם מהחובה להפעיל גם שיקולי צדק  והגינות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והדברים נאמרים בעיקר ביחס להתנהלות הרלוונטית לאישום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במה הדברים אמורים</w:t>
      </w:r>
      <w:r>
        <w:rPr>
          <w:rFonts w:cs="David" w:ascii="David" w:hAnsi="David"/>
          <w:rtl w:val="true"/>
        </w:rPr>
        <w:t>?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, </w:t>
      </w:r>
      <w:r>
        <w:rPr>
          <w:rtl w:val="true"/>
        </w:rPr>
        <w:t>והתמכר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להימורים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2,000,000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tl w:val="true"/>
        </w:rPr>
        <w:t xml:space="preserve">, </w:t>
      </w:r>
      <w:r>
        <w:rPr>
          <w:rtl w:val="true"/>
        </w:rPr>
        <w:t>לגיטימית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tl w:val="true"/>
        </w:rPr>
        <w:t xml:space="preserve">"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להפללתם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",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התגייס</w:t>
      </w:r>
      <w:r>
        <w:rPr>
          <w:rtl w:val="true"/>
        </w:rPr>
        <w:t xml:space="preserve">"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מובנית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tl w:val="true"/>
        </w:rPr>
        <w:t xml:space="preserve">),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/>
        <w:t>2003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28.2.22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1.1.24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b/>
          <w:bCs/>
        </w:rPr>
      </w:pP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</w:p>
    <w:p>
      <w:pPr>
        <w:pStyle w:val="Normal"/>
        <w:spacing w:lineRule="auto" w:line="360"/>
        <w:ind w:end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28.2.22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18.9.22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10.10.23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/>
      </w:pPr>
      <w:bookmarkStart w:id="16" w:name="Nitan"/>
      <w:r>
        <w:rPr>
          <w:rFonts w:ascii="David" w:hAnsi="David"/>
          <w:b/>
          <w:b/>
          <w:bCs/>
          <w:rtl w:val="true"/>
        </w:rPr>
        <w:t>ניתן והודע היום ט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ו באב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02/08/2023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במעמד הנוכחים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6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077" w:right="1077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35843-03-22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יעקוב בן חיים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179718" TargetMode="External"/><Relationship Id="rId15" Type="http://schemas.openxmlformats.org/officeDocument/2006/relationships/hyperlink" Target="http://www.nevo.co.il/case/20245898" TargetMode="External"/><Relationship Id="rId16" Type="http://schemas.openxmlformats.org/officeDocument/2006/relationships/hyperlink" Target="http://www.nevo.co.il/case/5583030" TargetMode="External"/><Relationship Id="rId17" Type="http://schemas.openxmlformats.org/officeDocument/2006/relationships/hyperlink" Target="http://www.nevo.co.il/case/28398427" TargetMode="External"/><Relationship Id="rId18" Type="http://schemas.openxmlformats.org/officeDocument/2006/relationships/hyperlink" Target="http://www.nevo.co.il/case/25447493" TargetMode="External"/><Relationship Id="rId19" Type="http://schemas.openxmlformats.org/officeDocument/2006/relationships/hyperlink" Target="http://www.nevo.co.il/case/28384637" TargetMode="External"/><Relationship Id="rId20" Type="http://schemas.openxmlformats.org/officeDocument/2006/relationships/hyperlink" Target="http://www.nevo.co.il/case/28243273" TargetMode="External"/><Relationship Id="rId21" Type="http://schemas.openxmlformats.org/officeDocument/2006/relationships/hyperlink" Target="http://www.nevo.co.il/case/28266138" TargetMode="External"/><Relationship Id="rId22" Type="http://schemas.openxmlformats.org/officeDocument/2006/relationships/hyperlink" Target="http://www.nevo.co.il/case/5821327" TargetMode="External"/><Relationship Id="rId23" Type="http://schemas.openxmlformats.org/officeDocument/2006/relationships/hyperlink" Target="http://www.nevo.co.il/case/21474520" TargetMode="External"/><Relationship Id="rId24" Type="http://schemas.openxmlformats.org/officeDocument/2006/relationships/hyperlink" Target="http://www.nevo.co.il/case/28883087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g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9564821" TargetMode="External"/><Relationship Id="rId29" Type="http://schemas.openxmlformats.org/officeDocument/2006/relationships/hyperlink" Target="http://www.nevo.co.il/case/26845110" TargetMode="External"/><Relationship Id="rId30" Type="http://schemas.openxmlformats.org/officeDocument/2006/relationships/hyperlink" Target="http://www.nevo.co.il/case/28119933" TargetMode="External"/><Relationship Id="rId31" Type="http://schemas.openxmlformats.org/officeDocument/2006/relationships/hyperlink" Target="http://www.nevo.co.il/case/27500303" TargetMode="External"/><Relationship Id="rId32" Type="http://schemas.openxmlformats.org/officeDocument/2006/relationships/hyperlink" Target="http://www.nevo.co.il/case/27949716" TargetMode="External"/><Relationship Id="rId33" Type="http://schemas.openxmlformats.org/officeDocument/2006/relationships/hyperlink" Target="http://www.nevo.co.il/law/70301/40jc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2024-08-26T13:56:00Z</dcterms:created>
  <dc:creator> </dc:creator>
  <dc:description/>
  <cp:keywords/>
  <dc:language>en-IL</dc:language>
  <cp:lastModifiedBy>h1</cp:lastModifiedBy>
  <dcterms:modified xsi:type="dcterms:W3CDTF">2024-08-26T13:56:00Z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יעקוב בן חיים; ניסים זייט דדון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25179718;20245898;5583030;28398427;25447493;28384637;28243273;28266138;5821327;21474520;28883087;29564821;26845110;28119933;27500303;27949716</vt:lpwstr>
  </property>
  <property fmtid="{D5CDD505-2E9C-101B-9397-08002B2CF9AE}" pid="9" name="CITY">
    <vt:lpwstr>ת"א</vt:lpwstr>
  </property>
  <property fmtid="{D5CDD505-2E9C-101B-9397-08002B2CF9AE}" pid="10" name="DATE">
    <vt:lpwstr>20230802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4216/013</vt:lpwstr>
  </property>
  <property fmtid="{D5CDD505-2E9C-101B-9397-08002B2CF9AE}" pid="15" name="LAWLISTTMP2">
    <vt:lpwstr>70301/144.b2;029;144.g;40jc.b</vt:lpwstr>
  </property>
  <property fmtid="{D5CDD505-2E9C-101B-9397-08002B2CF9AE}" pid="16" name="LAWYER">
    <vt:lpwstr>אביב בר אור;יצחק איצקוביץ'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35843</vt:lpwstr>
  </property>
  <property fmtid="{D5CDD505-2E9C-101B-9397-08002B2CF9AE}" pid="23" name="NEWPARTB">
    <vt:lpwstr>03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390020230802</vt:lpwstr>
  </property>
  <property fmtid="{D5CDD505-2E9C-101B-9397-08002B2CF9AE}" pid="35" name="TYPE_N_DATE">
    <vt:lpwstr>39020230802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