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3610/06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מרחב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שפלה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טברי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1269/07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מרחב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שפלה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טברי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סגנית נשיא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נירה דסקין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מרחב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שפלה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טברי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יוספי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1269/07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3610/06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1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21/12/05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22/12/05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6:30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. </w:t>
      </w:r>
      <w:r>
        <w:rPr>
          <w:rtl w:val="true"/>
        </w:rPr>
        <w:t>בעשותו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09/07/06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224/06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)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Style w:val="normal-h1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בפועל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שיצטבר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לעונש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אותו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מרצה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הנאשם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כעת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משמעותי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כל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רכוש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לרבות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ניסיון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מותנה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לעבירה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הפרת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הוראה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חוקית</w:t>
      </w:r>
      <w:r>
        <w:rPr>
          <w:rStyle w:val="normal-h1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Style w:val="normal-h1"/>
        </w:rPr>
      </w:pPr>
      <w:r>
        <w:rPr>
          <w:rStyle w:val="normal-h1"/>
          <w:rtl w:val="true"/>
        </w:rPr>
        <w:t>בטיעוניה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מדגישה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</w:t>
      </w:r>
      <w:r>
        <w:rPr>
          <w:rStyle w:val="normal-h1"/>
          <w:rtl w:val="true"/>
        </w:rPr>
        <w:t>"</w:t>
      </w:r>
      <w:r>
        <w:rPr>
          <w:rStyle w:val="normal-h1"/>
          <w:rtl w:val="true"/>
        </w:rPr>
        <w:t>כ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התביעה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כי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הנאשם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נשפט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</w:t>
      </w:r>
      <w:r>
        <w:rPr>
          <w:rStyle w:val="normal-h1"/>
          <w:rtl w:val="true"/>
        </w:rPr>
        <w:t>-</w:t>
      </w:r>
      <w:r>
        <w:rPr>
          <w:rStyle w:val="normal-h1"/>
        </w:rPr>
        <w:t>50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בפועל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שהחל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לרצותם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בחודש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אוקטובר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2008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בגין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ניסיון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לרצח</w:t>
      </w:r>
      <w:r>
        <w:rPr>
          <w:rStyle w:val="normal-h1"/>
          <w:rtl w:val="true"/>
        </w:rPr>
        <w:t xml:space="preserve">- </w:t>
      </w:r>
      <w:r>
        <w:rPr>
          <w:rStyle w:val="normal-h1"/>
          <w:rtl w:val="true"/>
        </w:rPr>
        <w:t>שהנה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מאוחרת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לתיקים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בהן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הורשע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כאן</w:t>
      </w:r>
      <w:r>
        <w:rPr>
          <w:rStyle w:val="normal-h1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Style w:val="normal-h1"/>
        </w:rPr>
      </w:pPr>
      <w:r>
        <w:rPr>
          <w:rStyle w:val="normal-h1"/>
          <w:rtl w:val="true"/>
        </w:rPr>
        <w:t>בנוסף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לחובתו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הרשעות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קודמות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בגין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ניסיון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שוד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הסעת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תושב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זר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ונהיגה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רישון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(</w:t>
      </w:r>
      <w:r>
        <w:rPr>
          <w:rStyle w:val="normal-h1"/>
          <w:rtl w:val="true"/>
        </w:rPr>
        <w:t>ת</w:t>
      </w:r>
      <w:r>
        <w:rPr>
          <w:rStyle w:val="normal-h1"/>
          <w:rtl w:val="true"/>
        </w:rPr>
        <w:t>/</w:t>
      </w:r>
      <w:r>
        <w:rPr>
          <w:rStyle w:val="normal-h1"/>
        </w:rPr>
        <w:t>1</w:t>
      </w:r>
      <w:r>
        <w:rPr>
          <w:rStyle w:val="normal-h1"/>
          <w:rtl w:val="true"/>
        </w:rPr>
        <w:t xml:space="preserve">). </w:t>
      </w:r>
    </w:p>
    <w:p>
      <w:pPr>
        <w:pStyle w:val="david-p"/>
        <w:bidi w:val="1"/>
        <w:ind w:end="0"/>
        <w:jc w:val="both"/>
        <w:rPr>
          <w:rFonts w:cs="David"/>
        </w:rPr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Style w:val="normal-h1"/>
        </w:rPr>
      </w:pPr>
      <w:r>
        <w:rPr>
          <w:rStyle w:val="normal-h1"/>
          <w:rtl w:val="true"/>
        </w:rPr>
        <w:t>בטיעוניו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מבקש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הסנגור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להסתפק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בענישה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אשר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תחפוף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את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תקופת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הנוכחית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אותה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מרצה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הנאשם</w:t>
      </w:r>
      <w:r>
        <w:rPr>
          <w:rStyle w:val="normal-h1"/>
          <w:rtl w:val="true"/>
        </w:rPr>
        <w:t>.</w:t>
      </w:r>
    </w:p>
    <w:p>
      <w:pPr>
        <w:pStyle w:val="normal-p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Style w:val="normal-h1"/>
          <w:rFonts w:cs="David"/>
          <w:rtl w:val="true"/>
        </w:rPr>
        <w:t>הסנגור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מבקש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להדגיש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כי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הנאשם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הודה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וחסך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זמן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יקר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בשל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חוסר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הבנה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לא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צורפו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תיקים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אלו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לתיק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בגינו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הוא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יושב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מאחורי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סורג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ובריח</w:t>
      </w:r>
      <w:r>
        <w:rPr>
          <w:rStyle w:val="normal-h1"/>
          <w:rFonts w:cs="David"/>
          <w:rtl w:val="true"/>
        </w:rPr>
        <w:t xml:space="preserve">. </w:t>
      </w:r>
      <w:r>
        <w:rPr>
          <w:rStyle w:val="normal-h1"/>
          <w:rFonts w:cs="David"/>
          <w:rtl w:val="true"/>
        </w:rPr>
        <w:t>בנוסף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העבירות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בוצעו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בהיותו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קטין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והרקע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ממנו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צמח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הנו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קשה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כעולה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מן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cs="David"/>
          <w:rtl w:val="true"/>
        </w:rPr>
        <w:t>התסקיר</w:t>
      </w:r>
      <w:r>
        <w:rPr>
          <w:rStyle w:val="normal-h1"/>
          <w:rFonts w:cs="David"/>
          <w:rtl w:val="true"/>
        </w:rPr>
        <w:t>.</w:t>
      </w:r>
      <w:r>
        <w:rPr>
          <w:rStyle w:val="david-h1"/>
          <w:rFonts w:cs="David"/>
          <w:rtl w:val="true"/>
        </w:rPr>
        <w:t xml:space="preserve"> </w:t>
      </w:r>
    </w:p>
    <w:p>
      <w:pPr>
        <w:pStyle w:val="normal-p"/>
        <w:bidi w:val="1"/>
        <w:ind w:start="720"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ויתפרץ</w:t>
      </w:r>
      <w:r>
        <w:rPr>
          <w:rtl w:val="true"/>
        </w:rPr>
        <w:t xml:space="preserve">, </w:t>
      </w:r>
      <w:r>
        <w:rPr>
          <w:rtl w:val="true"/>
        </w:rPr>
        <w:t>יזיק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BodyTextIndent2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2700" w:end="0"/>
        <w:jc w:val="both"/>
        <w:rPr>
          <w:rStyle w:val="normal-h1"/>
        </w:rPr>
      </w:pPr>
      <w:r>
        <w:rPr>
          <w:rStyle w:val="normal-h1"/>
        </w:rPr>
        <w:t>8</w:t>
      </w:r>
      <w:r>
        <w:rPr>
          <w:rStyle w:val="normal-h1"/>
          <w:rtl w:val="true"/>
        </w:rPr>
        <w:t>חודשי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בפועל</w:t>
      </w:r>
      <w:r>
        <w:rPr>
          <w:rStyle w:val="normal-h1"/>
          <w:rtl w:val="true"/>
        </w:rPr>
        <w:t>.</w:t>
      </w:r>
    </w:p>
    <w:p>
      <w:pPr>
        <w:pStyle w:val="Normal"/>
        <w:spacing w:lineRule="auto" w:line="360"/>
        <w:ind w:end="72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ודהינו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270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270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2700" w:end="0"/>
        <w:jc w:val="both"/>
        <w:rPr/>
      </w:pP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=- </w:t>
      </w:r>
      <w:r>
        <w:rPr>
          <w:rtl w:val="true"/>
        </w:rPr>
        <w:t>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2700" w:end="0"/>
        <w:jc w:val="both"/>
        <w:rPr/>
      </w:pPr>
      <w:r>
        <w:rPr>
          <w:rtl w:val="true"/>
        </w:rPr>
        <w:t>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end="720"/>
        <w:jc w:val="both"/>
        <w:rPr>
          <w:rStyle w:val="normal-h1"/>
          <w:sz w:val="16"/>
          <w:szCs w:val="16"/>
        </w:rPr>
      </w:pPr>
      <w:r>
        <w:rPr>
          <w:rtl w:val="true"/>
        </w:rPr>
      </w:r>
    </w:p>
    <w:p>
      <w:pPr>
        <w:pStyle w:val="Normal"/>
        <w:spacing w:lineRule="auto" w:line="360"/>
        <w:ind w:end="720"/>
        <w:jc w:val="both"/>
        <w:rPr>
          <w:rStyle w:val="normal-h1"/>
          <w:sz w:val="16"/>
          <w:szCs w:val="16"/>
        </w:rPr>
      </w:pPr>
      <w:r>
        <w:rPr>
          <w:rtl w:val="true"/>
        </w:rPr>
      </w:r>
    </w:p>
    <w:p>
      <w:pPr>
        <w:pStyle w:val="Normal"/>
        <w:ind w:firstLine="720" w:end="0"/>
        <w:jc w:val="start"/>
        <w:rPr>
          <w:lang w:val="en-IL" w:eastAsia="en-IL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נירה דסקין </w:t>
      </w:r>
      <w:r>
        <w:rPr>
          <w:rFonts w:cs="David" w:ascii="David" w:hAnsi="David"/>
          <w:color w:val="000000"/>
          <w:sz w:val="22"/>
          <w:szCs w:val="22"/>
        </w:rPr>
        <w:t>54678313-3610/06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/Users/liorb/Downloads/study2025-p2/SH-06-3610-559.doc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3610/06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עלי טברי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2700"/>
        </w:tabs>
        <w:ind w:start="2700" w:hanging="360"/>
      </w:pPr>
    </w:lvl>
    <w:lvl w:ilvl="2">
      <w:start w:val="5"/>
      <w:numFmt w:val="decimal"/>
      <w:lvlText w:val="(%3)"/>
      <w:lvlJc w:val="start"/>
      <w:pPr>
        <w:tabs>
          <w:tab w:val="num" w:pos="2385"/>
        </w:tabs>
        <w:ind w:start="2385" w:hanging="405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1">
    <w:name w:val="normal-h1"/>
    <w:qFormat/>
    <w:rPr>
      <w:rFonts w:ascii="Times New Roman" w:hAnsi="Times New Roman" w:cs="Times New Roman"/>
      <w:sz w:val="24"/>
      <w:szCs w:val="24"/>
    </w:rPr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2">
    <w:name w:val="Body Text Indent 2"/>
    <w:basedOn w:val="Normal"/>
    <w:qFormat/>
    <w:pPr>
      <w:spacing w:lineRule="auto" w:line="360"/>
      <w:ind w:hanging="0" w:start="720" w:end="0"/>
    </w:pPr>
    <w:rPr/>
  </w:style>
  <w:style w:type="paragraph" w:styleId="normal-p">
    <w:name w:val="normal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70301/413b.a" TargetMode="External"/><Relationship Id="rId7" Type="http://schemas.openxmlformats.org/officeDocument/2006/relationships/hyperlink" Target="http://www.nevo.co.il/law/70301/413d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70301/413f" TargetMode="External"/><Relationship Id="rId10" Type="http://schemas.openxmlformats.org/officeDocument/2006/relationships/hyperlink" Target="http://www.nevo.co.il/law/70301/413f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3b.a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413d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law/70301/413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2016-09-18T12:18:00Z</dcterms:created>
  <dc:creator> </dc:creator>
  <dc:description/>
  <cp:keywords/>
  <dc:language>en-IL</dc:language>
  <cp:lastModifiedBy>run</cp:lastModifiedBy>
  <dcterms:modified xsi:type="dcterms:W3CDTF">2016-09-18T12:18:00Z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עלי טברי </vt:lpwstr>
  </property>
  <property fmtid="{D5CDD505-2E9C-101B-9397-08002B2CF9AE}" pid="4" name="CASENOTES1">
    <vt:lpwstr>ProcID=209&amp;PartA=1269&amp;PartC=07</vt:lpwstr>
  </property>
  <property fmtid="{D5CDD505-2E9C-101B-9397-08002B2CF9AE}" pid="5" name="CASENOTES2">
    <vt:lpwstr>ProcID=209&amp;PartA=3610&amp;PartC=06</vt:lpwstr>
  </property>
  <property fmtid="{D5CDD505-2E9C-101B-9397-08002B2CF9AE}" pid="6" name="CASENOTES3">
    <vt:lpwstr>ProcID=209&amp;PartA=224&amp;PartC=06</vt:lpwstr>
  </property>
  <property fmtid="{D5CDD505-2E9C-101B-9397-08002B2CF9AE}" pid="7" name="CITY">
    <vt:lpwstr>רמ'</vt:lpwstr>
  </property>
  <property fmtid="{D5CDD505-2E9C-101B-9397-08002B2CF9AE}" pid="8" name="DATE">
    <vt:lpwstr>20091118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 נירה דסקין</vt:lpwstr>
  </property>
  <property fmtid="{D5CDD505-2E9C-101B-9397-08002B2CF9AE}" pid="12" name="LAWLISTTMP1">
    <vt:lpwstr>70301/413f;413b.a;025;413d;413e;287.a;413</vt:lpwstr>
  </property>
  <property fmtid="{D5CDD505-2E9C-101B-9397-08002B2CF9AE}" pid="13" name="LAWYER">
    <vt:lpwstr>הרצל יוספי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תפ;תפ</vt:lpwstr>
  </property>
  <property fmtid="{D5CDD505-2E9C-101B-9397-08002B2CF9AE}" pid="34" name="PROCNUM">
    <vt:lpwstr>3610;1269</vt:lpwstr>
  </property>
  <property fmtid="{D5CDD505-2E9C-101B-9397-08002B2CF9AE}" pid="35" name="PROCYEAR">
    <vt:lpwstr>06;07</vt:lpwstr>
  </property>
  <property fmtid="{D5CDD505-2E9C-101B-9397-08002B2CF9AE}" pid="36" name="PSAKDIN">
    <vt:lpwstr>גזר-דין</vt:lpwstr>
  </property>
  <property fmtid="{D5CDD505-2E9C-101B-9397-08002B2CF9AE}" pid="37" name="RemarkFileName">
    <vt:lpwstr>shalom sh 06 3610 559 htm</vt:lpwstr>
  </property>
  <property fmtid="{D5CDD505-2E9C-101B-9397-08002B2CF9AE}" pid="38" name="TYPE">
    <vt:lpwstr>3</vt:lpwstr>
  </property>
  <property fmtid="{D5CDD505-2E9C-101B-9397-08002B2CF9AE}" pid="39" name="TYPE_ABS_DATE">
    <vt:lpwstr>380020091118</vt:lpwstr>
  </property>
  <property fmtid="{D5CDD505-2E9C-101B-9397-08002B2CF9AE}" pid="40" name="TYPE_N_DATE">
    <vt:lpwstr>38020091118</vt:lpwstr>
  </property>
  <property fmtid="{D5CDD505-2E9C-101B-9397-08002B2CF9AE}" pid="41" name="VOLUME">
    <vt:lpwstr/>
  </property>
  <property fmtid="{D5CDD505-2E9C-101B-9397-08002B2CF9AE}" pid="42" name="WORDNUMPAGES">
    <vt:lpwstr>4</vt:lpwstr>
  </property>
</Properties>
</file>