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36323-09-15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: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דאואן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עינב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דוד דאואן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עידן שיר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אשכנזי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הינה חברה פרטית ועיסוקה הוא מכירת קרמיקה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כלים סניטריים וחומרי 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החברה רשומה כעוסק מורשה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5141167701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</w:t>
      </w:r>
      <w:bookmarkStart w:id="6" w:name="ABSTRACT_END"/>
      <w:bookmarkEnd w:id="6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הינו הבעלים הרשום של הנאשמת  ומנהלה הפעיל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כן בכל התקופה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בין יולי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כולל 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כפרו בעבירות שיוחסו להם בכתב האישום ולאחר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זוכו מחלק מהעבירות שהופיעו באישום הראשון וגם מחלק מהעבירות שהופיעו באישום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בשאר העבירות שהופיעו בשני האישומים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אתמקד רק בעבירות שבהן הורשעו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הורשעו בביצוען של </w:t>
      </w: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וזאת בנסיבות מחמירות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מס ערך מוסף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בהכרעת הדין כי הנאשמים הנפיקו </w:t>
      </w: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פיקטיביות לארבעה גורמים שונים כדי שאותם גורמים יתחמקו מתשלום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הסכום הכולל של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שגלום באותן חשבוניות היה </w:t>
      </w:r>
      <w:r>
        <w:rPr>
          <w:rFonts w:cs="Arial" w:ascii="Arial" w:hAnsi="Arial"/>
          <w:u w:val="single"/>
        </w:rPr>
        <w:t>2,947,126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בנסיבות מחמירות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מס ערך מוסף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ניכו מס תשומות מתוך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פיקטיביות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הסכום הכולל של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שגלום באותן חשבוניות הוא </w:t>
      </w:r>
      <w:r>
        <w:rPr>
          <w:rFonts w:cs="Arial" w:ascii="Arial" w:hAnsi="Arial"/>
          <w:u w:val="single"/>
        </w:rPr>
        <w:t>4,965,757</w:t>
      </w:r>
      <w:r>
        <w:rPr>
          <w:rFonts w:cs="Arial" w:ascii="Arial" w:hAnsi="Arial"/>
          <w:u w:val="single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הורשעו בביצוען של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מס הכנסה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וכן גם הורשעו בביצוען של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כללו בספרי החשבונות שלהם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פיקטיביות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הסכום הכולל של החשבוניות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  <w:u w:val="single"/>
        </w:rPr>
        <w:t>31,051,655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לעונש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בתמצית שמדובר בנזק משמעותי לקופת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מצדיק ענישה מחמירה שתיתן ביטוי לחומרת העבירות שבוצעו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טענה כי מתחם העונש ההולם למכלול העבירות מושא כתב האישום נע בין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מתחם הקנס ההולם נע בין </w:t>
      </w:r>
      <w:r>
        <w:rPr>
          <w:rFonts w:cs="Arial" w:ascii="Arial" w:hAnsi="Arial"/>
        </w:rPr>
        <w:t>500,000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ועד מיליון 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מאסר על תנאי משמעותי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הדגישה שהמחדלים מושא כתב האישום לא הוסרו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שמדובר בחברה שאינה פעילה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עתרה לקנס סמלי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הנאשמים העידו ארבעה עדי אופי ואשר לכולם היכרות אישית עם הנאשם בהיותם מתגוררים באותו יישוב שבו הוא מתגורר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באר יעקב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ארבעת עדי האופי הדגישו שמדובר בנאשם אשר לאורך השנים תרם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לנזקקים שמצויים במצוקה ותרם מכספו ומזמנו בסיוע לזולת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ללא תמורה ומתוך טוב לב ונטייה לעשיית מעשי חסד עם אחרים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לחלק מעדי האופי יש היכרות אישית עם הוריו של הנאשם והעידו שהוא עושה כל שלאל ידו על מנת לתמוך בשני הוריו שאינם בקו הבריאות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הנאשמים הדגיש שמדובר בנאשם ללא עבר פלילי קודם ואשר מצבו הכלכלי הוא בכי רע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עובד כיום כשכיר ומשתכר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לחודש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והוצא כנגדו צו כינוס נכסים על ידי  בית המשפט המחוזי במחוז מרכז לאור הליכי פשיטת רגל בהם הוא מצוי כיום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הוא בן </w:t>
      </w: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לארבעה ילדים וסועד את שני הוריו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7790/13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20.11.13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2,947,126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4,965,757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7,912,883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31,051,655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14</w:t>
      </w:r>
      <w:r>
        <w:rPr>
          <w:rtl w:val="true"/>
        </w:rPr>
        <w:t>.</w:t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חשוב להדגיש שבאישום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בשתי קטגוריות של עבירות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מס מסוג פשע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ושנית בעבירות מס מסוג פשע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הקטגוריות נוגעות לאותן חשבוניות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מדובר בעבירות חופפות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בשתי קטגוריות של עבירות שכל אחת מהן מצדיקה ענישה העומדת בפני 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העבירות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שבאישום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אינן נבלעות בעבירות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שבאותו 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היו יכולים להסתפק בביצוע העבירות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ניכוי מס תשומות מחשבוניות ההרשעה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מבלי לבצע את העבירות הנוספות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הכללת אותן חשבוניות בדיווח הכוזב למס הכנסה לצורך הכרה בהן כהוצאה על מנת שיופחת סך הכנסותיה של הנאשמת החייבות במס הכנסה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ביקשו להונות את רשות המיסים </w:t>
      </w:r>
      <w:r>
        <w:rPr>
          <w:rFonts w:ascii="Arial" w:hAnsi="Arial" w:cs="Arial"/>
          <w:u w:val="single"/>
          <w:rtl w:val="true"/>
        </w:rPr>
        <w:t>פעמיים</w:t>
      </w:r>
      <w:r>
        <w:rPr>
          <w:rFonts w:ascii="Arial" w:hAnsi="Arial" w:cs="Arial"/>
          <w:rtl w:val="true"/>
        </w:rPr>
        <w:t xml:space="preserve"> תוך שימוש באותן חשבוניות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פעם את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ופעם את רשויות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בדרך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הייתה אמורה לצמוח לנאשמים </w:t>
      </w:r>
      <w:r>
        <w:rPr>
          <w:rFonts w:ascii="Arial" w:hAnsi="Arial" w:cs="Arial"/>
          <w:u w:val="single"/>
          <w:rtl w:val="true"/>
        </w:rPr>
        <w:t>הנאה כפולה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בגין כל אחת מההנאות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צריכים להיענש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שאינני קובע שהענישה הראויה לגבי קטגוריית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 האישומים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צריכה להיות בהכרח מצטברת לענישה הראויה לגבי קטגוריית העבירות 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באותה מידה הענישה גם איננה בהכרח חופפת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שאלת החפיפה או ההצטברות של 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7907/14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ואזנה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22.2.15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בפסקאות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דינו של כבוד השופט מזוז</w:t>
      </w:r>
      <w:r>
        <w:rPr>
          <w:rFonts w:cs="Arial" w:ascii="Arial" w:hAnsi="Arial"/>
          <w:rtl w:val="true"/>
        </w:rPr>
        <w:t xml:space="preserve">;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1552/15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4.6.15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לפסק דינו של כבוד השופט פוגלמן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בית המשפט לעשות את השקלול הנכון של מכלול העבירות בקטגוריית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יחד עם מכלול העבירות בקטגוריית העבירות של מס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לפי עיקרון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המידתיות בענישה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מכלול העבירות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הן לגבי עבירות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והן לגבי עבירות מס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אקבע מתחם עונש הולם </w:t>
      </w:r>
      <w:r>
        <w:rPr>
          <w:rFonts w:ascii="Arial" w:hAnsi="Arial" w:cs="Arial"/>
          <w:u w:val="single"/>
          <w:rtl w:val="true"/>
        </w:rPr>
        <w:t>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גבולות מתחם העונש ההולם יושפעו לחומרא הן מהסכום הכולל של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והן מהסכום הכולל של העבירות לעניין מס הכנסה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: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9455/14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29.12.14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u w:val="single"/>
          <w:rtl w:val="true"/>
        </w:rPr>
        <w:t>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9,717,716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29,963,224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18.6.13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5.12.18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1.11.18</w:t>
      </w:r>
      <w:r>
        <w:rPr>
          <w:rtl w:val="true"/>
        </w:rPr>
        <w:t xml:space="preserve">).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4,031,856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;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דאואן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36323-09-15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דאואן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b.5" TargetMode="External"/><Relationship Id="rId4" Type="http://schemas.openxmlformats.org/officeDocument/2006/relationships/hyperlink" Target="http://www.nevo.co.il/law/72813/117.b1" TargetMode="External"/><Relationship Id="rId5" Type="http://schemas.openxmlformats.org/officeDocument/2006/relationships/hyperlink" Target="http://www.nevo.co.il/law/72813/117.b2.3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20" TargetMode="External"/><Relationship Id="rId8" Type="http://schemas.openxmlformats.org/officeDocument/2006/relationships/hyperlink" Target="http://www.nevo.co.il/law/84255/220.4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3/117.b1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b2.3" TargetMode="External"/><Relationship Id="rId14" Type="http://schemas.openxmlformats.org/officeDocument/2006/relationships/hyperlink" Target="http://www.nevo.co.il/law/72813/117.b.5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/117.b2.3" TargetMode="External"/><Relationship Id="rId17" Type="http://schemas.openxmlformats.org/officeDocument/2006/relationships/hyperlink" Target="http://www.nevo.co.il/law/84255/220.4" TargetMode="External"/><Relationship Id="rId18" Type="http://schemas.openxmlformats.org/officeDocument/2006/relationships/hyperlink" Target="http://www.nevo.co.il/law/84255" TargetMode="External"/><Relationship Id="rId19" Type="http://schemas.openxmlformats.org/officeDocument/2006/relationships/hyperlink" Target="http://www.nevo.co.il/law/84255/220.5" TargetMode="External"/><Relationship Id="rId20" Type="http://schemas.openxmlformats.org/officeDocument/2006/relationships/hyperlink" Target="http://www.nevo.co.il/law/84255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84255/220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case/10484450" TargetMode="External"/><Relationship Id="rId26" Type="http://schemas.openxmlformats.org/officeDocument/2006/relationships/hyperlink" Target="http://www.nevo.co.il/law/84255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84255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case/18654248" TargetMode="External"/><Relationship Id="rId35" Type="http://schemas.openxmlformats.org/officeDocument/2006/relationships/hyperlink" Target="http://www.nevo.co.il/case/20060571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law/84255" TargetMode="External"/><Relationship Id="rId38" Type="http://schemas.openxmlformats.org/officeDocument/2006/relationships/hyperlink" Target="http://www.nevo.co.il/law/84255" TargetMode="External"/><Relationship Id="rId39" Type="http://schemas.openxmlformats.org/officeDocument/2006/relationships/hyperlink" Target="http://www.nevo.co.il/law/84255" TargetMode="External"/><Relationship Id="rId40" Type="http://schemas.openxmlformats.org/officeDocument/2006/relationships/hyperlink" Target="http://www.nevo.co.il/case/7680103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case/25175529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case/25009220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law/72813" TargetMode="External"/><Relationship Id="rId47" Type="http://schemas.openxmlformats.org/officeDocument/2006/relationships/hyperlink" Target="http://www.nevo.co.il/law/84255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84255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2019-04-03T11:47:00Z</dcterms:created>
  <dc:creator> </dc:creator>
  <dc:description/>
  <cp:keywords/>
  <dc:language>en-IL</dc:language>
  <cp:lastModifiedBy>h10</cp:lastModifiedBy>
  <dcterms:modified xsi:type="dcterms:W3CDTF">2019-04-03T11:47:00Z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דאואן;ש. עידן שיר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ProcID=174;133;209&amp;PartA=9455&amp;PartC=14</vt:lpwstr>
  </property>
  <property fmtid="{D5CDD505-2E9C-101B-9397-08002B2CF9AE}" pid="9" name="CASESLISTTMP1">
    <vt:lpwstr>10484450;18654248;20060571;7680103;25175529;25009220</vt:lpwstr>
  </property>
  <property fmtid="{D5CDD505-2E9C-101B-9397-08002B2CF9AE}" pid="10" name="CITY">
    <vt:lpwstr>רמ'</vt:lpwstr>
  </property>
  <property fmtid="{D5CDD505-2E9C-101B-9397-08002B2CF9AE}" pid="11" name="DATE">
    <vt:lpwstr>20190327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72813/117.b1;117.b2.3:2;117.b.5</vt:lpwstr>
  </property>
  <property fmtid="{D5CDD505-2E9C-101B-9397-08002B2CF9AE}" pid="16" name="LAWLISTTMP2">
    <vt:lpwstr>84255/220.4;220.5;220</vt:lpwstr>
  </property>
  <property fmtid="{D5CDD505-2E9C-101B-9397-08002B2CF9AE}" pid="17" name="LAWYER">
    <vt:lpwstr>עינב לוי;גיא אשכנזי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36323</vt:lpwstr>
  </property>
  <property fmtid="{D5CDD505-2E9C-101B-9397-08002B2CF9AE}" pid="24" name="NEWPARTB">
    <vt:lpwstr>09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380020190327</vt:lpwstr>
  </property>
  <property fmtid="{D5CDD505-2E9C-101B-9397-08002B2CF9AE}" pid="36" name="TYPE_N_DATE">
    <vt:lpwstr>38020190327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