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36374-09-10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כנאענה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eastAsia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</w:rPr>
            </w:pPr>
            <w:r>
              <w:rPr>
                <w:rFonts w:eastAsia="David" w:cs="David" w:ascii="David" w:hAnsi="David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רביע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כנאענה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נעאמנה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383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427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428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), 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עראבה</w:t>
      </w:r>
      <w:r>
        <w:rPr>
          <w:rtl w:val="true"/>
        </w:rPr>
        <w:t xml:space="preserve">, </w:t>
      </w:r>
      <w:r>
        <w:rPr>
          <w:rtl w:val="true"/>
        </w:rPr>
        <w:t>המוכרים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bookmarkStart w:id="8" w:name="ABSTRACT_END"/>
      <w:bookmarkEnd w:id="8"/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קאדילק</w:t>
      </w:r>
      <w:r>
        <w:rPr>
          <w:rtl w:val="true"/>
        </w:rPr>
        <w:t xml:space="preserve">", </w:t>
      </w:r>
      <w:r>
        <w:rPr>
          <w:rtl w:val="true"/>
        </w:rPr>
        <w:t>הממוקמת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805</w:t>
      </w:r>
      <w:r>
        <w:rPr>
          <w:rtl w:val="true"/>
        </w:rPr>
        <w:t xml:space="preserve"> </w:t>
      </w:r>
      <w:r>
        <w:rPr>
          <w:rtl w:val="true"/>
        </w:rPr>
        <w:t>בעראבה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.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+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 xml:space="preserve">) +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 xml:space="preserve"> +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בעראבה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tl w:val="true"/>
        </w:rPr>
        <w:t xml:space="preserve">,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 xml:space="preserve">: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+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380</w:t>
        </w:r>
        <w:r>
          <w:rPr>
            <w:rStyle w:val="Hyperlink"/>
            <w:rtl w:val="true"/>
          </w:rPr>
          <w:t xml:space="preserve"> + </w:t>
        </w:r>
        <w:r>
          <w:rPr>
            <w:rStyle w:val="Hyperlink"/>
          </w:rPr>
          <w:t>383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), 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7.6.2006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19.4.2005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נימוקים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בעונשו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אידיאולוגי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ושותפיו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ומצטיידים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בציוד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לפעולותיהם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ברזל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כאפיות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גלביות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כמה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במנורה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ורק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נפגעו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אנשים</w:t>
      </w:r>
      <w:r>
        <w:rPr>
          <w:rStyle w:val="normal-h"/>
          <w:rFonts w:cs="David"/>
          <w:rtl w:val="true"/>
        </w:rPr>
        <w:t xml:space="preserve">,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לאזרחים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מפשע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תעוזה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ומעידים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כאלף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נחישותו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אנושה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בגופם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ובעיסוקם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העסקים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שמוכרים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אלכוהול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בעראבה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לנזקיו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הגופניים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ת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26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ת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ולנזק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שנגרם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בחנותו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נתפסו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אותה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במסעדה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הזיקו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ולחבריו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ויכול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הכירו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שנבהלו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והסתתרו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רהיטים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בנפש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להתבטאויותיו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בנוגע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לרצונו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לסלק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שמכורה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אלכוהול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ובנוגע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לאמצעים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הדרסטיים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שבדעתו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לנקוט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שהשמיע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המדובב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לדעתה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פגעו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במרקם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היחסים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ממילא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הנוצרים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למוסלמים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בישוב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ובמדינה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בכלל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ובחופש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העיסוק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הקרבנות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בחופש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העיסוק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וטענה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מנוגדים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לעקרונותיה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דמוקרטית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לייחס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לתוצאה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הסופית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האירועים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בנפש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בגוף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ושותפיו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צפיות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שעלולה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להתרחש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קטלנית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לדעתה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המקסימום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הקב</w:t>
      </w:r>
      <w:r>
        <w:rPr>
          <w:rStyle w:val="normal-h"/>
          <w:rFonts w:cs="David"/>
          <w:rtl w:val="true"/>
        </w:rPr>
        <w:t>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במיוחד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ובחקירה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ימשיך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בנוצרים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בעראבה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ישתחרר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מהכלא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המצביע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שנשקפת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בעתיד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מרתיע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למתלוננים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הסנגור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לעונש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</w:rPr>
        <w:t>6</w:t>
      </w:r>
      <w:r>
        <w:rPr>
          <w:rStyle w:val="david-h1"/>
          <w:rFonts w:cs="David"/>
          <w:rtl w:val="true"/>
        </w:rPr>
        <w:t>.</w:t>
        <w:tab/>
      </w:r>
      <w:r>
        <w:rPr>
          <w:rStyle w:val="david-h1"/>
          <w:rFonts w:cs="David"/>
          <w:rtl w:val="true"/>
        </w:rPr>
        <w:t>הסנגור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שאתעלם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טענה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שמהווה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פלילית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כגון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דבריו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למדובב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לפיהם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ישתחרר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ימשיך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במעשיו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הסנגור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הדגיש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שאחז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הנשק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וירה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שהיכה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המתלונן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בצינור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הברזל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הטעים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שבאירוע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הראשון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למעשה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בנסיון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לפי</w:t>
      </w:r>
      <w:r>
        <w:rPr>
          <w:rStyle w:val="david-h1"/>
          <w:rtl w:val="true"/>
        </w:rPr>
        <w:t xml:space="preserve"> </w:t>
      </w:r>
      <w:hyperlink r:id="rId28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329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b/>
            <w:bCs/>
            <w:sz w:val="24"/>
            <w:szCs w:val="24"/>
          </w:rPr>
          <w:t>2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)</w:t>
        </w:r>
      </w:hyperlink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ל</w:t>
      </w:r>
      <w:hyperlink r:id="rId29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נפגע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מהירי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ולאור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זווית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שכן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שהירי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נעשה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מהכביש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הקומה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השלישית</w:t>
      </w:r>
      <w:r>
        <w:rPr>
          <w:rStyle w:val="david-h1"/>
          <w:rFonts w:cs="David"/>
          <w:rtl w:val="true"/>
        </w:rPr>
        <w:t xml:space="preserve">),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לטענתו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חשש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ממש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שמישהו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ייפגע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לדבריו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עברו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מכביד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והעבירו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נעברו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2000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ובשנת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2005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לטענתו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נשוי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לילדים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שעבד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חייו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ודאג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לפרנס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משפחתו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שאינם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עובדים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הסובלים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מבעיות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גופניות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עוד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נטען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שמעשיו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פגעו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במרקם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החיים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בעראבה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היחסים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נוצרים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למוסלמים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בעראבה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מצוינים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spacing w:lineRule="auto" w:line="360"/>
        <w:ind w:firstLine="720" w:end="0"/>
        <w:jc w:val="both"/>
        <w:rPr/>
      </w:pPr>
      <w:r>
        <w:rPr>
          <w:rStyle w:val="david-h1"/>
          <w:rFonts w:cs="David"/>
          <w:rtl w:val="true"/>
        </w:rPr>
        <w:t>הסנגור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להביא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בחשבון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לקולא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העובדה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עצור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15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חודשים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מיום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2.9.10</w:t>
      </w:r>
      <w:r>
        <w:rPr>
          <w:rStyle w:val="david-h1"/>
          <w:rFonts w:cs="David"/>
          <w:rtl w:val="true"/>
        </w:rPr>
        <w:t xml:space="preserve">), </w:t>
      </w:r>
      <w:r>
        <w:rPr>
          <w:rStyle w:val="david-h1"/>
          <w:rFonts w:cs="David"/>
          <w:rtl w:val="true"/>
        </w:rPr>
        <w:t>בתנאים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שהינם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מתנאי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מאסר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למצות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להתחשב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במשפחתו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ובילדיו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הקטנים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שמחכים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לאביהם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ולהטיל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עונש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חופף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לתקופת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המעצר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שכבר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ריצה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ולחלופין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תקופת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מאסר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קצרה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נוספת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עונש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צופה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העתיד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ולהימנע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מהטלת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עונשים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אחרים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פסיקה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6-10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הסנגור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מצידו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הוטלו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</w:rPr>
        <w:t>8</w:t>
      </w:r>
      <w:r>
        <w:rPr>
          <w:rStyle w:val="david-h1"/>
          <w:rFonts w:cs="David"/>
          <w:rtl w:val="true"/>
        </w:rPr>
        <w:t>.</w:t>
        <w:tab/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אמר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לאחר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הורשע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יכול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לומר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המעשים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הזמן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לומר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זאת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שהינו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32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שנים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ביקש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בארבעת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ילדיו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ביניהן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הקטנה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חודשים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שנולדה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לאחר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מעצרו</w:t>
      </w:r>
      <w:r>
        <w:rPr>
          <w:rStyle w:val="david-h1"/>
          <w:rFonts w:cs="David"/>
          <w:rtl w:val="true"/>
        </w:rPr>
        <w:t xml:space="preserve">), </w:t>
      </w:r>
      <w:r>
        <w:rPr>
          <w:rStyle w:val="david-h1"/>
          <w:rFonts w:cs="David"/>
          <w:rtl w:val="true"/>
        </w:rPr>
        <w:t>באשתו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שלקחה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עצמה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פרנסת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ובמשפחתו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ובהיותו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מפרנס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יחיד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הוריו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וציין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חייו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מגיל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14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לדבריו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רגיל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להיות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עבריינים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ואיננו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רוצה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שילדיו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יגדלו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אב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/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כשמטרתן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בצריכתו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מהנורמה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ונקט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יסחוף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1456/07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10.7.2007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.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23.9.04</w:t>
      </w:r>
      <w:r>
        <w:rPr>
          <w:rtl w:val="true"/>
        </w:rPr>
        <w:t xml:space="preserve">)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12.7.06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)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שכוון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)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,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המסעדה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אציין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במניע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להישנותם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לקולא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לתינוקת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שנולדה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למעצרו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לפרנסת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עצור</w:t>
      </w:r>
      <w:r>
        <w:rPr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u w:val="single"/>
          <w:rtl w:val="true"/>
        </w:rPr>
        <w:t>לאור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האמור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לעיל</w:t>
      </w:r>
      <w:r>
        <w:rPr>
          <w:rFonts w:cs="David"/>
          <w:u w:val="single"/>
          <w:rtl w:val="true"/>
        </w:rPr>
        <w:t xml:space="preserve">, </w:t>
      </w:r>
      <w:r>
        <w:rPr>
          <w:rFonts w:cs="David"/>
          <w:u w:val="single"/>
          <w:rtl w:val="true"/>
        </w:rPr>
        <w:t>אני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גוזרת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הנאשם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העונשים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  <w:t xml:space="preserve">  </w:t>
      </w:r>
      <w:r>
        <w:rPr>
          <w:rFonts w:cs="David"/>
        </w:rPr>
        <w:t>54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2.9.2010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20.12.11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ובמועדו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יעמיד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מיידי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</w:rPr>
      </w:pPr>
      <w:r>
        <w:rPr>
          <w:rFonts w:cs="David"/>
          <w:b/>
          <w:bCs/>
          <w:color w:val="FFFFFF"/>
          <w:sz w:val="2"/>
          <w:szCs w:val="2"/>
        </w:rPr>
        <w:t>54678313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rtl w:val="true"/>
        </w:rPr>
        <w:t>זכות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ערעור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המשפט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העליון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בתוך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45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ימים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מהיום</w:t>
      </w:r>
      <w:r>
        <w:rPr>
          <w:rFonts w:cs="David"/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נוכחות באי כח הצדדים והנאשם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36374-09-10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רביע כנאענה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b." TargetMode="External"/><Relationship Id="rId7" Type="http://schemas.openxmlformats.org/officeDocument/2006/relationships/hyperlink" Target="http://www.nevo.co.il/law/70301/329.a." TargetMode="External"/><Relationship Id="rId8" Type="http://schemas.openxmlformats.org/officeDocument/2006/relationships/hyperlink" Target="http://www.nevo.co.il/law/70301/329.a.2.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3.a" TargetMode="External"/><Relationship Id="rId13" Type="http://schemas.openxmlformats.org/officeDocument/2006/relationships/hyperlink" Target="http://www.nevo.co.il/law/70301/427.a" TargetMode="External"/><Relationship Id="rId14" Type="http://schemas.openxmlformats.org/officeDocument/2006/relationships/hyperlink" Target="http://www.nevo.co.il/law/70301/428" TargetMode="External"/><Relationship Id="rId15" Type="http://schemas.openxmlformats.org/officeDocument/2006/relationships/hyperlink" Target="http://www.nevo.co.il/law/70301/144.a.;144.b.;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29.a.;329.a.2.;25;29" TargetMode="External"/><Relationship Id="rId18" Type="http://schemas.openxmlformats.org/officeDocument/2006/relationships/hyperlink" Target="http://www.nevo.co.il/law/70301/428" TargetMode="External"/><Relationship Id="rId19" Type="http://schemas.openxmlformats.org/officeDocument/2006/relationships/hyperlink" Target="http://www.nevo.co.il/law/70301/340a" TargetMode="External"/><Relationship Id="rId20" Type="http://schemas.openxmlformats.org/officeDocument/2006/relationships/hyperlink" Target="http://www.nevo.co.il/law/70301/144.a.;144.b.;29" TargetMode="External"/><Relationship Id="rId21" Type="http://schemas.openxmlformats.org/officeDocument/2006/relationships/hyperlink" Target="http://www.nevo.co.il/law/70301/380;383.a" TargetMode="External"/><Relationship Id="rId22" Type="http://schemas.openxmlformats.org/officeDocument/2006/relationships/hyperlink" Target="http://www.nevo.co.il/law/70301/428" TargetMode="External"/><Relationship Id="rId23" Type="http://schemas.openxmlformats.org/officeDocument/2006/relationships/hyperlink" Target="http://www.nevo.co.il/law/70301/427.a" TargetMode="External"/><Relationship Id="rId24" Type="http://schemas.openxmlformats.org/officeDocument/2006/relationships/hyperlink" Target="http://www.nevo.co.il/law/70301/340a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29.a.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6200014" TargetMode="External"/><Relationship Id="rId31" Type="http://schemas.openxmlformats.org/officeDocument/2006/relationships/hyperlink" Target="http://www.nevo.co.il/case/5852404" TargetMode="External"/><Relationship Id="rId32" Type="http://schemas.openxmlformats.org/officeDocument/2006/relationships/hyperlink" Target="http://www.nevo.co.il/case/6072945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2016-05-10T14:54:00Z</dcterms:created>
  <dc:creator> </dc:creator>
  <dc:description/>
  <cp:keywords/>
  <dc:language>en-IL</dc:language>
  <cp:lastModifiedBy>yafit</cp:lastModifiedBy>
  <dcterms:modified xsi:type="dcterms:W3CDTF">2016-05-10T14:54:00Z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רביע כנאענה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6200014;5852404;6072945</vt:lpwstr>
  </property>
  <property fmtid="{D5CDD505-2E9C-101B-9397-08002B2CF9AE}" pid="9" name="CITY">
    <vt:lpwstr>חי'</vt:lpwstr>
  </property>
  <property fmtid="{D5CDD505-2E9C-101B-9397-08002B2CF9AE}" pid="10" name="DATE">
    <vt:lpwstr>20111124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70301/144.a:2;144.b:2;029:4;329.a;329.a.2:2;025;428:2;340a:2;380;383.a;427.a;333</vt:lpwstr>
  </property>
  <property fmtid="{D5CDD505-2E9C-101B-9397-08002B2CF9AE}" pid="15" name="LAWYER">
    <vt:lpwstr>מעין אורן רימון;טארק נעאמנה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36374</vt:lpwstr>
  </property>
  <property fmtid="{D5CDD505-2E9C-101B-9397-08002B2CF9AE}" pid="22" name="NEWPARTB">
    <vt:lpwstr>09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390020111124</vt:lpwstr>
  </property>
  <property fmtid="{D5CDD505-2E9C-101B-9397-08002B2CF9AE}" pid="34" name="TYPE_N_DATE">
    <vt:lpwstr>39020111124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