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36447-06-10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  <w:r>
              <w:rPr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בר</w:t>
            </w:r>
            <w:r>
              <w:rPr>
                <w:sz w:val="28"/>
                <w:szCs w:val="28"/>
                <w:rtl w:val="true"/>
              </w:rPr>
              <w:br/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ריהאם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סייף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/>
      </w:pPr>
      <w:r>
        <w:rPr>
          <w:rStyle w:val="normal-h"/>
          <w:rFonts w:ascii="FrankRuehl" w:hAnsi="FrankRuehl" w:cs="FrankRuehl"/>
          <w:rtl w:val="true"/>
        </w:rPr>
        <w:t>חקיקה שאוזכרה</w:t>
      </w:r>
      <w:r>
        <w:rPr>
          <w:rStyle w:val="normal-h"/>
          <w:rFonts w:cs="FrankRuehl" w:ascii="FrankRuehl" w:hAnsi="FrankRuehl"/>
          <w:rtl w:val="true"/>
        </w:rPr>
        <w:t xml:space="preserve">: </w:t>
      </w:r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</w:rPr>
      </w:pPr>
      <w:hyperlink r:id="rId2"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Style w:val="normal-h"/>
          <w:rFonts w:cs="FrankRuehl" w:ascii="FrankRuehl" w:hAnsi="FrankRuehl"/>
          <w:rtl w:val="true"/>
        </w:rPr>
        <w:t xml:space="preserve">: </w:t>
      </w:r>
      <w:r>
        <w:rPr>
          <w:rStyle w:val="normal-h"/>
          <w:rFonts w:ascii="FrankRuehl" w:hAnsi="FrankRuehl" w:cs="FrankRuehl"/>
          <w:rtl w:val="true"/>
        </w:rPr>
        <w:t>סע</w:t>
      </w:r>
      <w:r>
        <w:rPr>
          <w:rStyle w:val="normal-h"/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ח</w:t>
        </w:r>
      </w:hyperlink>
      <w:r>
        <w:rPr>
          <w:rStyle w:val="normal-h"/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391</w:t>
        </w:r>
      </w:hyperlink>
      <w:r>
        <w:rPr>
          <w:rStyle w:val="normal-h"/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</w:rPr>
      </w:pPr>
      <w:hyperlink r:id="rId8"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Style w:val="normal-h"/>
          <w:rFonts w:cs="FrankRuehl" w:ascii="FrankRuehl" w:hAnsi="FrankRuehl"/>
          <w:rtl w:val="true"/>
        </w:rPr>
        <w:t xml:space="preserve">: </w:t>
      </w:r>
      <w:r>
        <w:rPr>
          <w:rStyle w:val="normal-h"/>
          <w:rFonts w:ascii="FrankRuehl" w:hAnsi="FrankRuehl" w:cs="FrankRuehl"/>
          <w:rtl w:val="true"/>
        </w:rPr>
        <w:t>סע</w:t>
      </w:r>
      <w:r>
        <w:rPr>
          <w:rStyle w:val="normal-h"/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cs="Times New Roman" w:ascii="FrankRuehl" w:hAnsi="FrankRuehl"/>
            <w:color w:val="0000FF"/>
            <w:u w:val="single"/>
            <w:rtl w:val="true"/>
          </w:rPr>
          <w:t>א</w:t>
        </w:r>
      </w:hyperlink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bookmarkStart w:id="4" w:name="LawTable_End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החברה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20.8.03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10.6.07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1.3.09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31.3.09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31.3.09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נרכשה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בקשת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השיקולים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הרשעה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hyperlink r:id="rId14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71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bookmarkStart w:id="8" w:name="LawTable"/>
      <w:bookmarkEnd w:id="8"/>
    </w:p>
    <w:p>
      <w:pPr>
        <w:pStyle w:val="normal-p"/>
        <w:bidi w:val="1"/>
        <w:spacing w:lineRule="exact" w:line="240" w:before="0" w:after="120"/>
        <w:ind w:hanging="283" w:start="283" w:end="0"/>
        <w:jc w:val="both"/>
        <w:rPr>
          <w:rStyle w:val="normal-h"/>
          <w:rFonts w:ascii="FrankRuehl" w:hAnsi="FrankRuehl" w:cs="FrankRuehl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ל</w:t>
      </w:r>
      <w:hyperlink r:id="rId15">
        <w:r>
          <w:rPr>
            <w:rStyle w:val="Hyperlink"/>
            <w:rFonts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16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192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7">
        <w:r>
          <w:rPr>
            <w:rStyle w:val="Hyperlink"/>
            <w:rFonts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הפלילי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נוסח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משולב</w:t>
      </w:r>
      <w:r>
        <w:rPr>
          <w:rStyle w:val="normal-h"/>
          <w:rFonts w:cs="David"/>
          <w:rtl w:val="true"/>
        </w:rPr>
        <w:t xml:space="preserve">] </w:t>
      </w:r>
      <w:r>
        <w:rPr>
          <w:rStyle w:val="normal-h"/>
          <w:rFonts w:cs="David"/>
          <w:rtl w:val="true"/>
        </w:rPr>
        <w:t>תשמ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18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2083/96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כתב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19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2669/00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20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9262/03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21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5102/03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22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9150/08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ביטון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23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9893/06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לאופר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], (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שבוצעה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ידי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שייגרם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הפרמטר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12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לגבי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הפרמטר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השני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הוכח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בפני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סוג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הנזק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שיגרם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הרשעתו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בדין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תמשיך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לעמוד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כנה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עבד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בשני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העשורים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האחרונים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כנהג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משאית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bookmarkStart w:id="9" w:name="_GoBack"/>
      <w:bookmarkEnd w:id="9"/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הוכיח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שעיסוקו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בתפקיד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זה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מותנה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בהעדר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קיומו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רישום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פלילי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לרבות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הרשעה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בעבירת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רכוש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קלה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יחסית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413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</w:t>
      </w:r>
      <w:hyperlink r:id="rId25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הוכח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בפני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שקיים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קשר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פנימי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יכולתו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לעבוד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כנהג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משאית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לבין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הצורך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בהעדר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קיומו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רישום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פלילי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הספציפית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הורשע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ברי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שהרשעה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פלילית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שהיא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יש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בכדי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להביא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</w:t>
      </w:r>
      <w:r>
        <w:rPr>
          <w:rFonts w:ascii="Times New Roman" w:hAnsi="Times New Roman" w:eastAsia="Times New Roman" w:cs="David"/>
          <w:rtl w:val="true"/>
          <w:lang w:eastAsia="he-IL"/>
        </w:rPr>
        <w:t>כתמת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אדם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בעיני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הציבור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ויתכן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</w:t>
      </w:r>
      <w:r>
        <w:rPr>
          <w:rFonts w:ascii="Times New Roman" w:hAnsi="Times New Roman" w:eastAsia="Times New Roman" w:cs="David"/>
          <w:rtl w:val="true"/>
          <w:lang w:eastAsia="he-IL"/>
        </w:rPr>
        <w:t>מעסיקים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שונים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יקחו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זאת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בחשבון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להעסיק</w:t>
      </w:r>
      <w:r>
        <w:rPr>
          <w:rFonts w:ascii="Times New Roman" w:hAnsi="Times New Roman" w:eastAsia="Times New Roman" w:cs="David"/>
          <w:rtl w:val="true"/>
          <w:lang w:eastAsia="he-IL"/>
        </w:rPr>
        <w:t>ו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או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ברם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הכתמה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אדם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ברישום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פלילי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יש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בכדי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להצדיק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ביטול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ההרשעה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המבחנים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שנקבעו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בפסיקה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ושעליהם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עמדתי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לעיל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רמת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ההוכחה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הנדרשת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הפסיקה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לגבי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rtl w:val="true"/>
          <w:lang w:eastAsia="he-IL"/>
        </w:rPr>
        <w:t>סוג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rtl w:val="true"/>
          <w:lang w:eastAsia="he-IL"/>
        </w:rPr>
        <w:t>ומידת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rtl w:val="true"/>
          <w:lang w:eastAsia="he-IL"/>
        </w:rPr>
        <w:t>הנזק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שיגרם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לאדם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מהרשעתו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בפלילים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מנת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להצדיק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ביטול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הרשעה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היא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הרבה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יותר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גבוהה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מזו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שהובאה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</w:t>
      </w:r>
      <w:r>
        <w:rPr>
          <w:rFonts w:eastAsia="Times New Roman" w:cs="David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David"/>
          <w:rtl w:val="true"/>
          <w:lang w:eastAsia="he-IL"/>
        </w:rPr>
        <w:t>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שבפני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במילים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אחרות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מאחר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עמד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ברף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הראייתי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שנקבע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בפסיקה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לגבי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סוג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ומידת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הנזק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שיגר</w:t>
      </w:r>
      <w:r>
        <w:rPr>
          <w:rFonts w:ascii="Times New Roman" w:hAnsi="Times New Roman" w:eastAsia="Times New Roman" w:cs="David"/>
          <w:rtl w:val="true"/>
          <w:lang w:eastAsia="he-IL"/>
        </w:rPr>
        <w:t>מו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ההרשעה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תמשיך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לעמוד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בעינה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הרי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שבקשתו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לביטול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ההרשעה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נדחית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b/>
          <w:bCs/>
          <w:sz w:val="28"/>
          <w:szCs w:val="28"/>
          <w:u w:val="single"/>
          <w:lang w:eastAsia="he-IL"/>
        </w:rPr>
      </w:pPr>
      <w:r>
        <w:rPr>
          <w:rFonts w:ascii="Times New Roman" w:hAnsi="Times New Roman" w:eastAsia="Times New Roman" w:cs="David"/>
          <w:b/>
          <w:b/>
          <w:bCs/>
          <w:sz w:val="28"/>
          <w:sz w:val="28"/>
          <w:szCs w:val="28"/>
          <w:rtl w:val="true"/>
          <w:lang w:eastAsia="he-IL"/>
        </w:rPr>
        <w:t>ד</w:t>
      </w:r>
      <w:r>
        <w:rPr>
          <w:rFonts w:eastAsia="Times New Roman" w:cs="David" w:ascii="Times New Roman" w:hAnsi="Times New Roman"/>
          <w:b/>
          <w:bCs/>
          <w:sz w:val="28"/>
          <w:szCs w:val="28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8"/>
          <w:sz w:val="28"/>
          <w:szCs w:val="28"/>
          <w:u w:val="single"/>
          <w:rtl w:val="true"/>
          <w:lang w:eastAsia="he-IL"/>
        </w:rPr>
        <w:t>ה</w:t>
      </w:r>
      <w:r>
        <w:rPr>
          <w:rFonts w:ascii="Times New Roman" w:hAnsi="Times New Roman" w:eastAsia="Times New Roman" w:cs="David"/>
          <w:b/>
          <w:b/>
          <w:bCs/>
          <w:sz w:val="28"/>
          <w:sz w:val="28"/>
          <w:szCs w:val="28"/>
          <w:u w:val="single"/>
          <w:rtl w:val="true"/>
          <w:lang w:eastAsia="he-IL"/>
        </w:rPr>
        <w:t>קנס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ההולם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b/>
          <w:bCs/>
          <w:sz w:val="28"/>
          <w:szCs w:val="28"/>
          <w:u w:val="single"/>
          <w:lang w:eastAsia="he-IL"/>
        </w:rPr>
      </w:pPr>
      <w:r>
        <w:rPr>
          <w:rFonts w:eastAsia="Times New Roman" w:cs="David" w:ascii="Times New Roman" w:hAnsi="Times New Roman"/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13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מאחר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וב</w:t>
      </w:r>
      <w:r>
        <w:rPr>
          <w:rFonts w:ascii="Times New Roman" w:hAnsi="Times New Roman" w:eastAsia="Times New Roman" w:cs="David"/>
          <w:rtl w:val="true"/>
          <w:lang w:eastAsia="he-IL"/>
        </w:rPr>
        <w:t>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כח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הצדדים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הסכימו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לאחר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שדחיתי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בקשת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לביטול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ההרשעה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שהעונש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הראוי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להשית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תנאי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וקנס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נותר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רק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לקבוע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14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לפי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hyperlink r:id="rId26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40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</w:t>
        </w:r>
      </w:hyperlink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</w:t>
      </w:r>
      <w:hyperlink r:id="rId27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קיימים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שיקולים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מרכזיים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לצורך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קביעת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גבולות</w:t>
      </w:r>
      <w:r>
        <w:rPr>
          <w:rFonts w:ascii="Times New Roman" w:hAnsi="Times New Roman" w:eastAsia="Times New Roman" w:cs="David"/>
          <w:rtl w:val="true"/>
          <w:lang w:eastAsia="he-IL"/>
        </w:rPr>
        <w:t>יו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eastAsia="Times New Roman" w:cs="David" w:ascii="Times New Roman" w:hAnsi="Times New Roman"/>
          <w:rtl w:val="true"/>
          <w:lang w:eastAsia="he-IL"/>
        </w:rPr>
        <w:t>: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numPr>
          <w:ilvl w:val="0"/>
          <w:numId w:val="2"/>
        </w:numPr>
        <w:bidi w:val="1"/>
        <w:spacing w:lineRule="auto" w:line="360" w:before="0" w:after="0"/>
        <w:ind w:hanging="360" w:start="108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עקרון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ההלימה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שיקול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זה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בודק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חומרת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העבירה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במקרה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שבפני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חומרת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נמדדת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סוג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וכן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מהות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וכמות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הפריטים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לעניין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סוג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העבירה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אין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מחלוקת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שמדובר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באחת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מעבירות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הרכוש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הקלות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שמופיעות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</w:t>
      </w:r>
      <w:hyperlink r:id="rId28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לעניין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כמות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הפריטים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ומהותם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ניתן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להתעלם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מהמסה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הקריטית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הפריטים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שנתפסו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ברשותו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דבר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שנותן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הורשע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נופך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גדול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יותר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חומרה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יוצא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מכך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אומנם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ביצע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קלה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החזקת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נכס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חשוד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כגנוב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אך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נמצא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ברף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הגבוה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החומרה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בביצוע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מעין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זו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start="108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numPr>
          <w:ilvl w:val="0"/>
          <w:numId w:val="2"/>
        </w:numPr>
        <w:bidi w:val="1"/>
        <w:spacing w:lineRule="auto" w:line="360" w:before="0" w:after="0"/>
        <w:ind w:hanging="360" w:start="108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מצבו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הכלכלי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u w:val="single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u w:val="single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קביעת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לקחתי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בחשבון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העובדה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נשוי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ואב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לילדים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</w:t>
      </w:r>
      <w:r>
        <w:rPr>
          <w:rFonts w:ascii="Times New Roman" w:hAnsi="Times New Roman" w:eastAsia="Times New Roman" w:cs="David"/>
          <w:rtl w:val="true"/>
          <w:lang w:eastAsia="he-IL"/>
        </w:rPr>
        <w:t>סמוכים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לשולחנו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ומזה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תקופה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ממושכת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אינו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מצליח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להשתלב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חזרה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במעגל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העבודה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u w:val="single"/>
          <w:lang w:eastAsia="he-IL"/>
        </w:rPr>
      </w:pPr>
      <w:r>
        <w:rPr>
          <w:rFonts w:eastAsia="Times New Roman" w:cs="David" w:ascii="Times New Roman" w:hAnsi="Times New Roman"/>
          <w:u w:val="single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15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בעת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קביעת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יש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לתת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הדעת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לגובה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המקסימאלי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שניתן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להטיל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hyperlink r:id="rId29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413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</w:t>
      </w:r>
      <w:hyperlink r:id="rId30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קובע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כדלקמן</w:t>
      </w:r>
      <w:r>
        <w:rPr>
          <w:rFonts w:eastAsia="Times New Roman" w:cs="David" w:ascii="Times New Roman" w:hAnsi="Times New Roman"/>
          <w:rtl w:val="true"/>
          <w:lang w:eastAsia="he-IL"/>
        </w:rPr>
        <w:t>: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start="288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David"/>
          <w:rtl w:val="true"/>
          <w:lang w:eastAsia="he-IL"/>
        </w:rPr>
        <w:t>המחזיק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דבר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כסף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נייר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ערך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נכס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אחר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עליהם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חשד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סביר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גנובים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ואין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בידו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להניח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דעתו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משפט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שרכש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החזקה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בהם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כדין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דינו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שישה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חודשים</w:t>
      </w:r>
      <w:r>
        <w:rPr>
          <w:rFonts w:eastAsia="Times New Roman" w:cs="David" w:ascii="Times New Roman" w:hAnsi="Times New Roman"/>
          <w:rtl w:val="true"/>
          <w:lang w:eastAsia="he-IL"/>
        </w:rPr>
        <w:t>"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u w:val="single"/>
          <w:lang w:eastAsia="he-IL"/>
        </w:rPr>
      </w:pPr>
      <w:r>
        <w:rPr>
          <w:rFonts w:eastAsia="Times New Roman" w:cs="David" w:ascii="Times New Roman" w:hAnsi="Times New Roman"/>
          <w:u w:val="single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16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hyperlink r:id="rId31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בסעיף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61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1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rtl w:val="true"/>
            <w:lang w:eastAsia="he-IL"/>
          </w:rPr>
          <w:t>)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</w:t>
      </w:r>
      <w:hyperlink r:id="rId32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נקבע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כדלקמן</w:t>
      </w:r>
      <w:r>
        <w:rPr>
          <w:rFonts w:eastAsia="Times New Roman" w:cs="David" w:ascii="Times New Roman" w:hAnsi="Times New Roman"/>
          <w:rtl w:val="true"/>
          <w:lang w:eastAsia="he-IL"/>
        </w:rPr>
        <w:t>: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hanging="720" w:start="360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  <w:t>"</w:t>
      </w:r>
      <w:r>
        <w:rPr>
          <w:rFonts w:eastAsia="Times New Roman" w:cs="David" w:ascii="Times New Roman" w:hAnsi="Times New Roman"/>
          <w:lang w:eastAsia="he-IL"/>
        </w:rPr>
        <w:t>61</w:t>
      </w:r>
      <w:r>
        <w:rPr>
          <w:rFonts w:eastAsia="Times New Roman" w:cs="David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David"/>
          <w:rtl w:val="true"/>
          <w:lang w:eastAsia="he-IL"/>
        </w:rPr>
        <w:t>א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) 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אף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האמור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חוק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מקום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שהוסמך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משפט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בחוק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להטיל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קנס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רשאי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להטיל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</w:p>
    <w:p>
      <w:pPr>
        <w:pStyle w:val="normal-p"/>
        <w:bidi w:val="1"/>
        <w:spacing w:lineRule="auto" w:line="360" w:before="0" w:after="0"/>
        <w:ind w:start="360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  <w:t>(</w:t>
      </w:r>
      <w:r>
        <w:rPr>
          <w:rFonts w:eastAsia="Times New Roman" w:cs="David" w:ascii="Times New Roman" w:hAnsi="Times New Roman"/>
          <w:lang w:eastAsia="he-IL"/>
        </w:rPr>
        <w:t>1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David"/>
          <w:rtl w:val="true"/>
          <w:lang w:eastAsia="he-IL"/>
        </w:rPr>
        <w:t>אם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קבוע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עונש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שישה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בלבד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או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נקבע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סכום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14,400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שקלים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חדשים</w:t>
      </w:r>
      <w:r>
        <w:rPr>
          <w:rFonts w:eastAsia="Times New Roman" w:cs="David" w:ascii="Times New Roman" w:hAnsi="Times New Roman"/>
          <w:rtl w:val="true"/>
          <w:lang w:eastAsia="he-IL"/>
        </w:rPr>
        <w:t>".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u w:val="single"/>
          <w:lang w:eastAsia="he-IL"/>
        </w:rPr>
      </w:pPr>
      <w:r>
        <w:rPr>
          <w:rFonts w:eastAsia="Times New Roman" w:cs="David" w:ascii="Times New Roman" w:hAnsi="Times New Roman"/>
          <w:u w:val="single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17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כן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המקסימאלי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שבי</w:t>
      </w:r>
      <w:r>
        <w:rPr>
          <w:rFonts w:ascii="Times New Roman" w:hAnsi="Times New Roman" w:eastAsia="Times New Roman" w:cs="David"/>
          <w:rtl w:val="true"/>
          <w:lang w:eastAsia="he-IL"/>
        </w:rPr>
        <w:t>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המשפט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רשאי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להטיל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הרשעתו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413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</w:t>
      </w:r>
      <w:hyperlink r:id="rId34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14,400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₪, </w:t>
      </w:r>
      <w:r>
        <w:rPr>
          <w:rFonts w:ascii="Times New Roman" w:hAnsi="Times New Roman" w:eastAsia="Times New Roman" w:cs="David"/>
          <w:rtl w:val="true"/>
          <w:lang w:eastAsia="he-IL"/>
        </w:rPr>
        <w:t>וזאת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בגין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מלוא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תקופת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שישה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שהוגדרה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בחוק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בעת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קביעת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יש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לקחת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בחשבון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שיוטל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שבפני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גם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מותנה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ואשר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גם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</w:t>
      </w:r>
      <w:r>
        <w:rPr>
          <w:rFonts w:ascii="Times New Roman" w:hAnsi="Times New Roman" w:eastAsia="Times New Roman" w:cs="David"/>
          <w:rtl w:val="true"/>
          <w:lang w:eastAsia="he-IL"/>
        </w:rPr>
        <w:t>י</w:t>
      </w:r>
      <w:r>
        <w:rPr>
          <w:rFonts w:ascii="Times New Roman" w:hAnsi="Times New Roman" w:eastAsia="Times New Roman" w:cs="David"/>
          <w:rtl w:val="true"/>
          <w:lang w:eastAsia="he-IL"/>
        </w:rPr>
        <w:t>גזר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מתוך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תקופת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המקסימאלית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שישה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חודשים</w:t>
      </w:r>
      <w:r>
        <w:rPr>
          <w:rFonts w:eastAsia="Times New Roman" w:cs="David" w:ascii="Times New Roman" w:hAnsi="Times New Roman"/>
          <w:rtl w:val="true"/>
          <w:lang w:eastAsia="he-IL"/>
        </w:rPr>
        <w:t>.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18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כן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הנני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קובע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במקרה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שבפני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4,000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eastAsia="Times New Roman" w:cs="David"/>
          <w:rtl w:val="true"/>
          <w:lang w:eastAsia="he-IL"/>
        </w:rPr>
        <w:t>ועד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8,000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David"/>
          <w:rtl w:val="true"/>
          <w:lang w:eastAsia="he-IL"/>
        </w:rPr>
        <w:t>בעת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קביעת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David"/>
          <w:b/>
          <w:b/>
          <w:bCs/>
          <w:rtl w:val="true"/>
          <w:lang w:eastAsia="he-IL"/>
        </w:rPr>
        <w:t>המתאים</w:t>
      </w:r>
      <w:r>
        <w:rPr>
          <w:rFonts w:eastAsia="Times New Roman" w:cs="David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בתוך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מתחם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ההולם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לקחתי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בחשבון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הנתונים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שלהלן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: </w:t>
      </w:r>
      <w:r>
        <w:rPr>
          <w:rFonts w:ascii="Times New Roman" w:hAnsi="Times New Roman" w:eastAsia="Times New Roman" w:cs="David"/>
          <w:rtl w:val="true"/>
          <w:lang w:eastAsia="he-IL"/>
        </w:rPr>
        <w:t>לנאשם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עבר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פלילי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קודם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David"/>
          <w:rtl w:val="true"/>
          <w:lang w:eastAsia="he-IL"/>
        </w:rPr>
        <w:t>גילו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שהינו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47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שנים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David"/>
          <w:rtl w:val="true"/>
          <w:lang w:eastAsia="he-IL"/>
        </w:rPr>
        <w:t>הפגיעה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במשפחתו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David"/>
          <w:rtl w:val="true"/>
          <w:lang w:eastAsia="he-IL"/>
        </w:rPr>
        <w:t>חלוף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הזמן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ביצוע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בשנת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2009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כך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שחלפו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מאז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כחמש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שנים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lang w:eastAsia="he-IL"/>
        </w:rPr>
        <w:t>19</w:t>
      </w:r>
      <w:r>
        <w:rPr>
          <w:rFonts w:eastAsia="Times New Roman" w:cs="David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David"/>
          <w:rtl w:val="true"/>
          <w:lang w:eastAsia="he-IL"/>
        </w:rPr>
        <w:t>לאור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האמור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לעיל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הנני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משית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העונשים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הבאים</w:t>
      </w:r>
      <w:r>
        <w:rPr>
          <w:rFonts w:eastAsia="Times New Roman" w:cs="David" w:ascii="Times New Roman" w:hAnsi="Times New Roman"/>
          <w:rtl w:val="true"/>
          <w:lang w:eastAsia="he-IL"/>
        </w:rPr>
        <w:t>: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numPr>
          <w:ilvl w:val="0"/>
          <w:numId w:val="3"/>
        </w:numPr>
        <w:bidi w:val="1"/>
        <w:spacing w:lineRule="auto" w:line="360" w:before="0" w:after="0"/>
        <w:ind w:hanging="720" w:start="144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ascii="Times New Roman" w:hAnsi="Times New Roman" w:eastAsia="Times New Roman" w:cs="David"/>
          <w:rtl w:val="true"/>
          <w:lang w:eastAsia="he-IL"/>
        </w:rPr>
        <w:t>שלושה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תנאי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והתנאי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שבמשך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שנ</w:t>
      </w:r>
      <w:r>
        <w:rPr>
          <w:rFonts w:ascii="Times New Roman" w:hAnsi="Times New Roman" w:eastAsia="Times New Roman" w:cs="David"/>
          <w:rtl w:val="true"/>
          <w:lang w:eastAsia="he-IL"/>
        </w:rPr>
        <w:t>תי</w:t>
      </w:r>
      <w:r>
        <w:rPr>
          <w:rFonts w:ascii="Times New Roman" w:hAnsi="Times New Roman" w:eastAsia="Times New Roman" w:cs="David"/>
          <w:rtl w:val="true"/>
          <w:lang w:eastAsia="he-IL"/>
        </w:rPr>
        <w:t>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מהיום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יבצע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עבירה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hyperlink r:id="rId35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u w:val="single"/>
            <w:lang w:eastAsia="he-IL"/>
          </w:rPr>
          <w:t>413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</w:t>
      </w:r>
      <w:hyperlink r:id="rId36"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start="144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numPr>
          <w:ilvl w:val="0"/>
          <w:numId w:val="3"/>
        </w:numPr>
        <w:bidi w:val="1"/>
        <w:spacing w:lineRule="auto" w:line="360" w:before="0" w:after="0"/>
        <w:ind w:hanging="720" w:start="144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ascii="Times New Roman" w:hAnsi="Times New Roman" w:eastAsia="Times New Roman" w:cs="David"/>
          <w:rtl w:val="true"/>
          <w:lang w:eastAsia="he-IL"/>
        </w:rPr>
        <w:t>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ישלם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בסך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4</w:t>
      </w:r>
      <w:r>
        <w:rPr>
          <w:rFonts w:eastAsia="Times New Roman" w:cs="David" w:ascii="Times New Roman" w:hAnsi="Times New Roman"/>
          <w:lang w:eastAsia="he-IL"/>
        </w:rPr>
        <w:t>,</w:t>
      </w:r>
      <w:r>
        <w:rPr>
          <w:rFonts w:eastAsia="Times New Roman" w:cs="David" w:ascii="Times New Roman" w:hAnsi="Times New Roman"/>
          <w:lang w:eastAsia="he-IL"/>
        </w:rPr>
        <w:t>000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₪ </w:t>
      </w:r>
      <w:r>
        <w:rPr>
          <w:rFonts w:ascii="Times New Roman" w:hAnsi="Times New Roman" w:eastAsia="Times New Roman" w:cs="David"/>
          <w:rtl w:val="true"/>
          <w:lang w:eastAsia="he-IL"/>
        </w:rPr>
        <w:t>או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10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ימי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תמורתו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start="1440"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ישולם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</w:t>
      </w:r>
      <w:r>
        <w:rPr>
          <w:rFonts w:eastAsia="Times New Roman" w:cs="David" w:ascii="Times New Roman" w:hAnsi="Times New Roman"/>
          <w:rtl w:val="true"/>
          <w:lang w:eastAsia="he-IL"/>
        </w:rPr>
        <w:t>-</w:t>
      </w:r>
      <w:r>
        <w:rPr>
          <w:rFonts w:eastAsia="Times New Roman" w:cs="David" w:ascii="Times New Roman" w:hAnsi="Times New Roman"/>
          <w:lang w:eastAsia="he-IL"/>
        </w:rPr>
        <w:t>10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תשלומים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חודשיים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שווים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ורצופים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כאשר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הראשון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שבהם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ליום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1.5.14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והיתרה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</w:t>
      </w:r>
      <w:r>
        <w:rPr>
          <w:rFonts w:eastAsia="Times New Roman" w:cs="David" w:ascii="Times New Roman" w:hAnsi="Times New Roman"/>
          <w:rtl w:val="true"/>
          <w:lang w:eastAsia="he-IL"/>
        </w:rPr>
        <w:t>-</w:t>
      </w:r>
      <w:r>
        <w:rPr>
          <w:rFonts w:eastAsia="Times New Roman" w:cs="David" w:ascii="Times New Roman" w:hAnsi="Times New Roman"/>
          <w:lang w:eastAsia="he-IL"/>
        </w:rPr>
        <w:t>1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חודש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שלאחריו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היה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ואחד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התשלומים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ישולם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במועד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אזי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יעמוד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מלוא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סכום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לפ</w:t>
      </w:r>
      <w:r>
        <w:rPr>
          <w:rFonts w:ascii="Times New Roman" w:hAnsi="Times New Roman" w:eastAsia="Times New Roman" w:cs="David"/>
          <w:rtl w:val="true"/>
          <w:lang w:eastAsia="he-IL"/>
        </w:rPr>
        <w:t>י</w:t>
      </w:r>
      <w:r>
        <w:rPr>
          <w:rFonts w:ascii="Times New Roman" w:hAnsi="Times New Roman" w:eastAsia="Times New Roman" w:cs="David"/>
          <w:rtl w:val="true"/>
          <w:lang w:eastAsia="he-IL"/>
        </w:rPr>
        <w:t>רעון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מידי</w:t>
      </w:r>
      <w:r>
        <w:rPr>
          <w:rFonts w:eastAsia="Times New Roman" w:cs="David" w:ascii="Times New Roman" w:hAnsi="Times New Roman"/>
          <w:rtl w:val="true"/>
          <w:lang w:eastAsia="he-IL"/>
        </w:rPr>
        <w:t>.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ascii="Times New Roman" w:hAnsi="Times New Roman" w:eastAsia="Times New Roman" w:cs="David"/>
          <w:rtl w:val="true"/>
          <w:lang w:eastAsia="he-IL"/>
        </w:rPr>
        <w:t>הרכוש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נשוא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כתב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האישום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יוחזר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לבעליו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ובהיעדר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בעלים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יטופל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לפי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שיקול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דעת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קצין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משטרה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David"/>
          <w:rtl w:val="true"/>
          <w:lang w:eastAsia="he-IL"/>
        </w:rPr>
        <w:t>ההחלטה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להשבת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הרכוש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לבעליו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יעוכב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ביצועה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למשך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45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ימים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מהיום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David"/>
          <w:rtl w:val="true"/>
          <w:lang w:eastAsia="he-IL"/>
        </w:rPr>
        <w:t>על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מנת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שהנאשם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יוכל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לשקול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עמדתו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להגשת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ערעור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rtl w:val="true"/>
          <w:lang w:eastAsia="he-IL"/>
        </w:rPr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lang w:eastAsia="he-IL"/>
        </w:rPr>
      </w:pPr>
      <w:r>
        <w:rPr>
          <w:rFonts w:eastAsia="Times New Roman" w:cs="David" w:ascii="Times New Roman" w:hAnsi="Times New Roman"/>
          <w:color w:val="FFFFFF"/>
          <w:sz w:val="2"/>
          <w:szCs w:val="2"/>
          <w:lang w:eastAsia="he-IL"/>
        </w:rPr>
        <w:t>5129371</w:t>
      </w:r>
      <w:r>
        <w:rPr>
          <w:rFonts w:ascii="Times New Roman" w:hAnsi="Times New Roman" w:eastAsia="Times New Roman" w:cs="David"/>
          <w:rtl w:val="true"/>
          <w:lang w:eastAsia="he-IL"/>
        </w:rPr>
        <w:t>זכות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ערעור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תוך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David" w:ascii="Times New Roman" w:hAnsi="Times New Roman"/>
          <w:lang w:eastAsia="he-IL"/>
        </w:rPr>
        <w:t>45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David"/>
          <w:rtl w:val="true"/>
          <w:lang w:eastAsia="he-IL"/>
        </w:rPr>
        <w:t>יום</w:t>
      </w:r>
      <w:r>
        <w:rPr>
          <w:rFonts w:eastAsia="Times New Roman" w:cs="David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36447-06-10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h" TargetMode="External"/><Relationship Id="rId4" Type="http://schemas.openxmlformats.org/officeDocument/2006/relationships/hyperlink" Target="http://www.nevo.co.il/law/70301/61.a.1" TargetMode="External"/><Relationship Id="rId5" Type="http://schemas.openxmlformats.org/officeDocument/2006/relationships/hyperlink" Target="http://www.nevo.co.il/law/70301/71a.b" TargetMode="External"/><Relationship Id="rId6" Type="http://schemas.openxmlformats.org/officeDocument/2006/relationships/hyperlink" Target="http://www.nevo.co.il/law/70301/391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192a" TargetMode="External"/><Relationship Id="rId10" Type="http://schemas.openxmlformats.org/officeDocument/2006/relationships/hyperlink" Target="http://www.nevo.co.il/law/70301/39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1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71a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4903/192a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inks/psika/?link=&#1506;&#1508;%202083/96&amp;Pvol=&#1504;&#1489;" TargetMode="External"/><Relationship Id="rId19" Type="http://schemas.openxmlformats.org/officeDocument/2006/relationships/hyperlink" Target="http://www.nevo.co.il/links/psika/?link=&#1506;&#1508;%202669/00&amp;Pvol=&#1504;&#1491;" TargetMode="External"/><Relationship Id="rId20" Type="http://schemas.openxmlformats.org/officeDocument/2006/relationships/hyperlink" Target="http://www.nevo.co.il/links/psika/?link=&#1506;&#1508;%209262/03&amp;Pvol=&#1504;&#1495;" TargetMode="External"/><Relationship Id="rId21" Type="http://schemas.openxmlformats.org/officeDocument/2006/relationships/hyperlink" Target="http://www.nevo.co.il/links/psika/?link=&#1506;&#1508;%205102/03" TargetMode="External"/><Relationship Id="rId22" Type="http://schemas.openxmlformats.org/officeDocument/2006/relationships/hyperlink" Target="http://www.nevo.co.il/links/psika/?link=&#1506;&#1508;%209150/08" TargetMode="External"/><Relationship Id="rId23" Type="http://schemas.openxmlformats.org/officeDocument/2006/relationships/hyperlink" Target="http://www.nevo.co.il/links/psika/?link=&#1506;&#1508;%209893/06" TargetMode="External"/><Relationship Id="rId24" Type="http://schemas.openxmlformats.org/officeDocument/2006/relationships/hyperlink" Target="http://www.nevo.co.il/law/70301/41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h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1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61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1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13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2014-03-23T10:17:00Z</dcterms:created>
  <dc:creator> </dc:creator>
  <dc:description/>
  <cp:keywords/>
  <dc:language>en-IL</dc:language>
  <cp:lastModifiedBy>hofit</cp:lastModifiedBy>
  <dcterms:modified xsi:type="dcterms:W3CDTF">2014-03-23T10:17:00Z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שלמה 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ProcID=133;209&amp;PartA=9262&amp;PartC=03</vt:lpwstr>
  </property>
  <property fmtid="{D5CDD505-2E9C-101B-9397-08002B2CF9AE}" pid="9" name="CITY">
    <vt:lpwstr>רמ'</vt:lpwstr>
  </property>
  <property fmtid="{D5CDD505-2E9C-101B-9397-08002B2CF9AE}" pid="10" name="DATE">
    <vt:lpwstr>20140317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70301/391:2;413:6;071a.b:2;040h:2;061.a.1:2</vt:lpwstr>
  </property>
  <property fmtid="{D5CDD505-2E9C-101B-9397-08002B2CF9AE}" pid="15" name="LAWLISTTMP2">
    <vt:lpwstr>74903/192a:2</vt:lpwstr>
  </property>
  <property fmtid="{D5CDD505-2E9C-101B-9397-08002B2CF9AE}" pid="16" name="LAWYER">
    <vt:lpwstr>רועי לוס;ריהאם אבו סייף;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36447</vt:lpwstr>
  </property>
  <property fmtid="{D5CDD505-2E9C-101B-9397-08002B2CF9AE}" pid="23" name="NEWPARTB">
    <vt:lpwstr>06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380020140317</vt:lpwstr>
  </property>
  <property fmtid="{D5CDD505-2E9C-101B-9397-08002B2CF9AE}" pid="35" name="TYPE_N_DATE">
    <vt:lpwstr>38020140317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