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36505-12-20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קואסמה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הדס עמיר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היתם קואסמה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וסים דראושה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cs="David"/>
        </w:rPr>
        <w:t>1</w:t>
      </w:r>
      <w:r>
        <w:rPr>
          <w:rFonts w:cs="David"/>
          <w:rtl w:val="true"/>
        </w:rPr>
        <w:t>.</w:t>
        <w:tab/>
      </w:r>
      <w:bookmarkStart w:id="8" w:name="ABSTRACT_START"/>
      <w:bookmarkEnd w:id="8"/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והחזקה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6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8"/>
          <w:rtl w:val="true"/>
        </w:rPr>
        <w:t>),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cs="David"/>
          </w:rPr>
          <w:t>499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לסחר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Fonts w:cs="David"/>
          </w:rPr>
          <w:t>25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bookmarkStart w:id="9" w:name="ABSTRACT_END"/>
      <w:bookmarkEnd w:id="9"/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שבעובדותיו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ושבעה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אישומים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לחלק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איברהים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קוואסמה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Miriam" w:hAnsi="Miriam" w:cs="David"/>
          <w:sz w:val="24"/>
          <w:sz w:val="24"/>
          <w:szCs w:val="24"/>
          <w:rtl w:val="true"/>
        </w:rPr>
        <w:t>איברהים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עמרו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Miriam" w:hAnsi="Miriam" w:cs="David"/>
          <w:sz w:val="24"/>
          <w:sz w:val="24"/>
          <w:szCs w:val="24"/>
          <w:rtl w:val="true"/>
        </w:rPr>
        <w:t>אחמד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שהנו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המרצה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האישומים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הראשון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איברהים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16.11.2020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Miriam" w:hAnsi="Miriam" w:cs="David"/>
          <w:sz w:val="24"/>
          <w:sz w:val="24"/>
          <w:szCs w:val="24"/>
          <w:rtl w:val="true"/>
        </w:rPr>
        <w:t>הקשר</w:t>
      </w:r>
      <w:r>
        <w:rPr>
          <w:rFonts w:ascii="Miriam" w:hAnsi="Miriam" w:eastAsia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David"/>
          <w:sz w:val="24"/>
          <w:sz w:val="24"/>
          <w:szCs w:val="24"/>
          <w:rtl w:val="true"/>
        </w:rPr>
        <w:t>הראשון</w:t>
      </w:r>
      <w:r>
        <w:rPr>
          <w:rFonts w:cs="David"/>
          <w:rtl w:val="true"/>
        </w:rPr>
        <w:t xml:space="preserve">). </w:t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האישומים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החמישי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ואילך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לחברו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2020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טלפוניות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ובתחמושת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ייצור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במכירה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וברכישה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והתמורה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שהרווחים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יחולקו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Miriam" w:hAnsi="Miriam" w:cs="David"/>
          <w:sz w:val="24"/>
          <w:sz w:val="24"/>
          <w:szCs w:val="24"/>
          <w:rtl w:val="true"/>
        </w:rPr>
        <w:t>הקשר</w:t>
      </w:r>
      <w:r>
        <w:rPr>
          <w:rFonts w:ascii="Miriam" w:hAnsi="Miriam" w:eastAsia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David"/>
          <w:sz w:val="24"/>
          <w:sz w:val="24"/>
          <w:szCs w:val="24"/>
          <w:rtl w:val="true"/>
        </w:rPr>
        <w:t>השני</w:t>
      </w:r>
      <w:r>
        <w:rPr>
          <w:rFonts w:cs="David"/>
          <w:rtl w:val="true"/>
        </w:rPr>
        <w:t xml:space="preserve">). 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הראשון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15.12.2020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איברהים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חוויטי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Miriam" w:hAnsi="Miriam" w:cs="David"/>
          <w:sz w:val="24"/>
          <w:sz w:val="24"/>
          <w:szCs w:val="24"/>
          <w:rtl w:val="true"/>
        </w:rPr>
        <w:t>חוויטי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שזהותם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למאשימה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חוויטי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ורצועה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שחורה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בתמורה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לחוויטי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47,000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הוסתר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והחזקה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30.11.2020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איברהים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חוויטי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חוויטי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מוסב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24,000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איברהים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חירבאווי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36,000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ואיברהים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התחלקו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בתמורה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השלישי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והחזקה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איברהים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חוויטי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חוויטי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מוסב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20,000-30,000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איברהים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בכניסה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36,000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ואיברהים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התחלקו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בתמורה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30.11.2020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קוואסמה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מחסניות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40,000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ברשותו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זייד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לזייד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34,000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מתוכם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זייד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17,000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במזומן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17,000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הנותרים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זייד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יקזז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מחובו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זייד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להצעה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החמישי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17.11.2020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דנדיס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למכירה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באפשרותו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70,000-80,000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מוסב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45,000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דנדיס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דנדיס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העסקה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דנדיס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ירכשו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בהנחה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60,000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השישי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בתחמושת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לסחר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29.11.2020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למוכרם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ענכוש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סוחרי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הכדורים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ענכוש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מוחמד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והינחה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שנשלח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ענכוש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ולמכור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ברווח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ואחמד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צלצל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למוחמד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למתואר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ממוחמד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כשבועיים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ואיברהים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וחברו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הפועל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b/>
          <w:bCs/>
          <w:rtl w:val="true"/>
        </w:rPr>
        <w:tab/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השביעי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אוגוסט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שמוכר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וסמים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למאשימה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22,000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שסוגו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3-4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להסכמה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בטיעוניו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ובהעדר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תסקיר</w:t>
      </w:r>
      <w:r>
        <w:rPr>
          <w:rFonts w:eastAsia="Arial TUR;Arial" w:cs="Arial TUR;Arial"/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שירות</w:t>
      </w:r>
      <w:r>
        <w:rPr>
          <w:rFonts w:eastAsia="Arial TUR;Arial" w:cs="Arial TUR;Arial"/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המבחן</w:t>
      </w:r>
    </w:p>
    <w:p>
      <w:pPr>
        <w:pStyle w:val="Ruller41"/>
        <w:ind w:end="0"/>
        <w:jc w:val="both"/>
        <w:rPr/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לילדה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שנולדה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העתיק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מגוריו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והתחבר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שולית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נתנו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לגיטימציה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להחזקת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ולמכירתם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קנייה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ומכירה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נתפסה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יוקרתית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וגברית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הכפר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ומרצון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לרווח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מבחינת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סיכויי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השיקום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שהמעצר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הרתעתי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למחירים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הנובעים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ממעשיו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מבחינת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הערכת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הסיכון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ברכישה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ובמכירה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ממושכת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סיכונים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אימפולסיבית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השוליות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מזעור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וכוונותיו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הנדונות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u w:val="single"/>
          <w:rtl w:val="true"/>
        </w:rPr>
        <w:t>גבוהה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מהמלצה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ישולב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Arial TUR;Arial"/>
          <w:b/>
          <w:bCs/>
          <w:spacing w:val="10"/>
          <w:szCs w:val="28"/>
          <w:u w:val="single"/>
        </w:rPr>
      </w:pPr>
      <w:r>
        <w:rPr>
          <w:rFonts w:ascii="Arial TUR;Arial" w:hAnsi="Arial TUR;Arial" w:cs="Arial TUR;Arial"/>
          <w:b/>
          <w:b/>
          <w:bCs/>
          <w:spacing w:val="10"/>
          <w:szCs w:val="28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spacing w:val="10"/>
          <w:szCs w:val="28"/>
        </w:rPr>
      </w:pPr>
      <w:r>
        <w:rPr>
          <w:rFonts w:cs="Arial TUR;Arial" w:ascii="Arial TUR;Arial" w:hAnsi="Arial TUR;Arial"/>
          <w:spacing w:val="10"/>
          <w:szCs w:val="28"/>
        </w:rPr>
        <w:t>6</w:t>
      </w:r>
      <w:r>
        <w:rPr>
          <w:rFonts w:cs="Arial TUR;Arial" w:ascii="Arial TUR;Arial" w:hAnsi="Arial TUR;Arial"/>
          <w:spacing w:val="10"/>
          <w:szCs w:val="28"/>
          <w:rtl w:val="true"/>
        </w:rPr>
        <w:t>.</w:t>
        <w:tab/>
      </w:r>
      <w:r>
        <w:rPr>
          <w:rFonts w:ascii="Arial TUR;Arial" w:hAnsi="Arial TUR;Arial" w:cs="Arial TUR;Arial"/>
          <w:spacing w:val="10"/>
          <w:szCs w:val="28"/>
          <w:rtl w:val="true"/>
        </w:rPr>
        <w:t>שני הצדדים טענו למתחם עונש הולם אחד בגין מכלול העבירות בהן הורשע הנאשם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szCs w:val="28"/>
          <w:rtl w:val="true"/>
        </w:rPr>
        <w:t>כמו כן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באי</w:t>
      </w:r>
      <w:r>
        <w:rPr>
          <w:rFonts w:cs="Arial TUR;Arial" w:ascii="Arial TUR;Arial" w:hAnsi="Arial TUR;Arial"/>
          <w:spacing w:val="10"/>
          <w:szCs w:val="28"/>
          <w:rtl w:val="true"/>
        </w:rPr>
        <w:t>-</w:t>
      </w:r>
      <w:r>
        <w:rPr>
          <w:rFonts w:ascii="Arial TUR;Arial" w:hAnsi="Arial TUR;Arial" w:cs="Arial TUR;Arial"/>
          <w:spacing w:val="10"/>
          <w:szCs w:val="28"/>
          <w:rtl w:val="true"/>
        </w:rPr>
        <w:t>כוח הצדדים הפנו לאסמכתאות מן הפסיקה לתמיכה בטיעוניהם העונשיים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spacing w:val="10"/>
          <w:szCs w:val="28"/>
        </w:rPr>
      </w:pPr>
      <w:r>
        <w:rPr>
          <w:rFonts w:cs="Arial TUR;Arial" w:ascii="Arial TUR;Arial" w:hAnsi="Arial TUR;Arial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Arial TUR;Arial"/>
          <w:spacing w:val="10"/>
          <w:szCs w:val="28"/>
        </w:rPr>
      </w:pPr>
      <w:r>
        <w:rPr>
          <w:rFonts w:ascii="Arial TUR;Arial" w:hAnsi="Arial TUR;Arial" w:cs="Arial TUR;Arial"/>
          <w:spacing w:val="10"/>
          <w:szCs w:val="28"/>
          <w:rtl w:val="true"/>
        </w:rPr>
        <w:t>המאשימה עתרה למתחם עונש הולם שנע מ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- </w:t>
      </w:r>
      <w:r>
        <w:rPr>
          <w:rFonts w:cs="Arial TUR;Arial" w:ascii="Arial TUR;Arial" w:hAnsi="Arial TUR;Arial"/>
          <w:spacing w:val="10"/>
          <w:szCs w:val="28"/>
        </w:rPr>
        <w:t>8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szCs w:val="28"/>
          <w:rtl w:val="true"/>
        </w:rPr>
        <w:t xml:space="preserve">עד </w:t>
      </w:r>
      <w:r>
        <w:rPr>
          <w:rFonts w:cs="Arial TUR;Arial" w:ascii="Arial TUR;Arial" w:hAnsi="Arial TUR;Arial"/>
          <w:spacing w:val="10"/>
          <w:szCs w:val="28"/>
        </w:rPr>
        <w:t>12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szCs w:val="28"/>
          <w:rtl w:val="true"/>
        </w:rPr>
        <w:t>שנות מאסר בפועל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וטענה כי יש להעמיד את עונשו של הנאשם בחלק התחתון של המתחם אך לא בתחתיתו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קרי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- </w:t>
      </w:r>
      <w:r>
        <w:rPr>
          <w:rFonts w:cs="Arial TUR;Arial" w:ascii="Arial TUR;Arial" w:hAnsi="Arial TUR;Arial"/>
          <w:spacing w:val="10"/>
          <w:szCs w:val="28"/>
        </w:rPr>
        <w:t>9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szCs w:val="28"/>
          <w:rtl w:val="true"/>
        </w:rPr>
        <w:t>שנות מאסר בפועל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מאסר מותנה וקנס כספי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szCs w:val="28"/>
          <w:rtl w:val="true"/>
        </w:rPr>
        <w:t>מנגד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הסנגור טען כי המתחם נע מ</w:t>
      </w:r>
      <w:r>
        <w:rPr>
          <w:rFonts w:cs="Arial TUR;Arial" w:ascii="Arial TUR;Arial" w:hAnsi="Arial TUR;Arial"/>
          <w:spacing w:val="10"/>
          <w:szCs w:val="28"/>
          <w:rtl w:val="true"/>
        </w:rPr>
        <w:t>-</w:t>
      </w:r>
      <w:r>
        <w:rPr>
          <w:rFonts w:cs="Arial TUR;Arial" w:ascii="Arial TUR;Arial" w:hAnsi="Arial TUR;Arial"/>
          <w:spacing w:val="10"/>
          <w:szCs w:val="28"/>
        </w:rPr>
        <w:t>3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szCs w:val="28"/>
          <w:rtl w:val="true"/>
        </w:rPr>
        <w:t>עד מספר שנות מאסר בפועל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szCs w:val="28"/>
          <w:rtl w:val="true"/>
        </w:rPr>
        <w:t>הסנגור עמד על הנסיבות לקולא לטובת מרשו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ועתר להשתת עונש בתחתית המתחם הנטען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קרי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- </w:t>
      </w:r>
      <w:r>
        <w:rPr>
          <w:rFonts w:cs="Arial TUR;Arial" w:ascii="Arial TUR;Arial" w:hAnsi="Arial TUR;Arial"/>
          <w:spacing w:val="10"/>
          <w:szCs w:val="28"/>
        </w:rPr>
        <w:t>3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szCs w:val="28"/>
          <w:rtl w:val="true"/>
        </w:rPr>
        <w:t>שנים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szCs w:val="28"/>
          <w:rtl w:val="true"/>
        </w:rPr>
        <w:t>הנאשם בדבריו לפניי טען שטעה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וציין כי יש לו בת קטנה והוא רוצה להיות לידה</w:t>
      </w:r>
      <w:r>
        <w:rPr>
          <w:rFonts w:cs="Arial TUR;Arial" w:ascii="Arial TUR;Arial" w:hAnsi="Arial TUR;Arial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spacing w:val="10"/>
          <w:szCs w:val="28"/>
        </w:rPr>
      </w:pPr>
      <w:r>
        <w:rPr>
          <w:rFonts w:cs="Arial TUR;Arial" w:ascii="Arial TUR;Arial" w:hAnsi="Arial TUR;Aria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eastAsia="Calibri" w:cs="Arial TUR;Arial"/>
          <w:b/>
          <w:bCs/>
          <w:spacing w:val="10"/>
          <w:szCs w:val="28"/>
          <w:u w:val="single"/>
        </w:rPr>
      </w:pPr>
      <w:r>
        <w:rPr>
          <w:rFonts w:ascii="Arial TUR;Arial" w:hAnsi="Arial TUR;Arial" w:cs="Arial TUR;Arial"/>
          <w:b/>
          <w:b/>
          <w:bCs/>
          <w:spacing w:val="10"/>
          <w:szCs w:val="28"/>
          <w:u w:val="single"/>
          <w:rtl w:val="true"/>
        </w:rPr>
        <w:t>ריבוי עבירות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 TUR;Arial" w:ascii="Arial TUR;Arial" w:hAnsi="Arial TUR;Arial"/>
          <w:spacing w:val="10"/>
          <w:szCs w:val="28"/>
        </w:rPr>
        <w:t>7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  <w:tab/>
      </w:r>
      <w:r>
        <w:rPr>
          <w:rFonts w:ascii="Arial TUR;Arial" w:hAnsi="Arial TUR;Arial" w:cs="Arial TUR;Arial"/>
          <w:spacing w:val="10"/>
          <w:szCs w:val="28"/>
          <w:rtl w:val="true"/>
        </w:rPr>
        <w:t>כאמור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 xml:space="preserve">באי כוח שני הצדדים היו מאוחדים בדעה לפיה יש לראות במכלול העבירות בהן הורשע הנאשם משום אירוע אחד לצורך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קביעתו של מתחם עונש הולם לפי 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אציין כי ניתן היה לסבור גם אחרת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בשים לב לכך שחלק מהעבירות בוצעו במסגרת הקשר הראשון שבין הנאשם ובין</w:t>
      </w:r>
      <w:r>
        <w:rPr>
          <w:rFonts w:ascii="Arial TUR;Arial" w:hAnsi="Arial TUR;Arial" w:cs="Arial TUR;Arial"/>
          <w:spacing w:val="10"/>
          <w:szCs w:val="28"/>
          <w:rtl w:val="true"/>
        </w:rPr>
        <w:t xml:space="preserve"> אברהים אחיו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; </w:t>
      </w:r>
      <w:r>
        <w:rPr>
          <w:rFonts w:ascii="Arial TUR;Arial" w:hAnsi="Arial TUR;Arial" w:cs="Arial TUR;Arial"/>
          <w:spacing w:val="10"/>
          <w:szCs w:val="28"/>
          <w:rtl w:val="true"/>
        </w:rPr>
        <w:t>חלק אחר מהעבירות בוצעו במסגרת הקשר השני שבין הנאשם ובין אחמד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; </w:t>
      </w:r>
      <w:r>
        <w:rPr>
          <w:rFonts w:ascii="Arial TUR;Arial" w:hAnsi="Arial TUR;Arial" w:cs="Arial TUR;Arial"/>
          <w:spacing w:val="10"/>
          <w:szCs w:val="28"/>
          <w:rtl w:val="true"/>
        </w:rPr>
        <w:t>והעבירות הנותרות בוצעו על</w:t>
      </w:r>
      <w:r>
        <w:rPr>
          <w:rFonts w:cs="Arial TUR;Arial" w:ascii="Arial TUR;Arial" w:hAnsi="Arial TUR;Arial"/>
          <w:spacing w:val="10"/>
          <w:szCs w:val="28"/>
          <w:rtl w:val="true"/>
        </w:rPr>
        <w:t>-</w:t>
      </w:r>
      <w:r>
        <w:rPr>
          <w:rFonts w:ascii="Arial TUR;Arial" w:hAnsi="Arial TUR;Arial" w:cs="Arial TUR;Arial"/>
          <w:spacing w:val="10"/>
          <w:szCs w:val="28"/>
          <w:rtl w:val="true"/>
        </w:rPr>
        <w:t>ידי הנאשם שלא במסגרת הקשר הראשון או השני הנ</w:t>
      </w:r>
      <w:r>
        <w:rPr>
          <w:rFonts w:cs="Arial TUR;Arial" w:ascii="Arial TUR;Arial" w:hAnsi="Arial TUR;Arial"/>
          <w:spacing w:val="10"/>
          <w:szCs w:val="28"/>
          <w:rtl w:val="true"/>
        </w:rPr>
        <w:t>"</w:t>
      </w:r>
      <w:r>
        <w:rPr>
          <w:rFonts w:ascii="Arial TUR;Arial" w:hAnsi="Arial TUR;Arial" w:cs="Arial TUR;Arial"/>
          <w:spacing w:val="10"/>
          <w:szCs w:val="28"/>
          <w:rtl w:val="true"/>
        </w:rPr>
        <w:t>ל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szCs w:val="28"/>
          <w:rtl w:val="true"/>
        </w:rPr>
        <w:t>עם זאת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מאחר ששני הצדדים מסכימים כי יש לראות במכלול העבירות משום אירוע אחד לצורך קביעתו של מתחם העונש ההולם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לא אראה להתערב בכך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szCs w:val="28"/>
          <w:rtl w:val="true"/>
        </w:rPr>
        <w:t>בסופו של יום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מדובר בגישה אפשרית בהתחשב בכך שעסקינן ברצף של מעשים עברייניים שעניינם עבירות בנשק שבוצעו על</w:t>
      </w:r>
      <w:r>
        <w:rPr>
          <w:rFonts w:cs="Arial TUR;Arial" w:ascii="Arial TUR;Arial" w:hAnsi="Arial TUR;Arial"/>
          <w:spacing w:val="10"/>
          <w:szCs w:val="28"/>
          <w:rtl w:val="true"/>
        </w:rPr>
        <w:t>-</w:t>
      </w:r>
      <w:r>
        <w:rPr>
          <w:rFonts w:ascii="Arial TUR;Arial" w:hAnsi="Arial TUR;Arial" w:cs="Arial TUR;Arial"/>
          <w:spacing w:val="10"/>
          <w:szCs w:val="28"/>
          <w:rtl w:val="true"/>
        </w:rPr>
        <w:t xml:space="preserve">ידי הנאשם במהלך שנת </w:t>
      </w:r>
      <w:r>
        <w:rPr>
          <w:rFonts w:cs="Arial TUR;Arial" w:ascii="Arial TUR;Arial" w:hAnsi="Arial TUR;Arial"/>
          <w:spacing w:val="10"/>
          <w:szCs w:val="28"/>
        </w:rPr>
        <w:t>2020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 xml:space="preserve">תוך שניתן להצביע על זיקה הדוקה ביניהם </w:t>
      </w:r>
      <w:r>
        <w:rPr>
          <w:rFonts w:cs="Arial TUR;Arial" w:ascii="Arial TUR;Arial" w:hAnsi="Arial TUR;Arial"/>
          <w:spacing w:val="10"/>
          <w:szCs w:val="28"/>
          <w:rtl w:val="true"/>
        </w:rPr>
        <w:t>(</w:t>
      </w:r>
      <w:r>
        <w:rPr>
          <w:rFonts w:ascii="Arial TUR;Arial" w:hAnsi="Arial TUR;Arial" w:cs="Arial TUR;Arial"/>
          <w:spacing w:val="10"/>
          <w:szCs w:val="28"/>
          <w:rtl w:val="true"/>
        </w:rPr>
        <w:t>ראו והשוו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: </w:t>
      </w:r>
      <w:hyperlink r:id="rId22">
        <w:r>
          <w:rPr>
            <w:rStyle w:val="Hyperlink"/>
            <w:rFonts w:ascii="Arial TUR;Arial" w:hAnsi="Arial TUR;Arial" w:cs="Arial TUR;Aria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Cs w:val="28"/>
            <w:u w:val="single"/>
          </w:rPr>
          <w:t>5643/14</w:t>
        </w:r>
      </w:hyperlink>
      <w:r>
        <w:rPr>
          <w:rFonts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עיסא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פס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' </w:t>
      </w:r>
      <w:r>
        <w:rPr>
          <w:rFonts w:cs="Arial TUR;Arial" w:ascii="Arial TUR;Arial" w:hAnsi="Arial TUR;Arial"/>
          <w:spacing w:val="10"/>
          <w:szCs w:val="28"/>
        </w:rPr>
        <w:t>12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 (</w:t>
      </w:r>
      <w:r>
        <w:rPr>
          <w:rFonts w:cs="Arial TUR;Arial" w:ascii="Arial TUR;Arial" w:hAnsi="Arial TUR;Arial"/>
          <w:spacing w:val="10"/>
          <w:szCs w:val="28"/>
        </w:rPr>
        <w:t>23.6.2015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)). </w:t>
      </w:r>
      <w:r>
        <w:rPr>
          <w:rFonts w:ascii="Arial TUR;Arial" w:hAnsi="Arial TUR;Arial" w:cs="Arial TUR;Arial"/>
          <w:spacing w:val="10"/>
          <w:szCs w:val="28"/>
          <w:rtl w:val="true"/>
        </w:rPr>
        <w:t>כדוגמה ממחישה לזיקה ההדוקה בין המעשים ניתן להפנות לאישום השישי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שכן המעשים המתוארים באותו אישום בוצעו תחילה במסגרת הקשר השני של הנאשם עם אחמד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ולאחר מכן במסגרת הקשר הראשון של הנאשם עם איברהים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spacing w:val="10"/>
          <w:szCs w:val="28"/>
        </w:rPr>
      </w:pPr>
      <w:r>
        <w:rPr>
          <w:rFonts w:cs="Arial TUR;Arial" w:ascii="Arial TUR;Arial" w:hAnsi="Arial TUR;Arial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 TUR;Arial" w:ascii="Arial TUR;Arial" w:hAnsi="Arial TUR;Arial"/>
          <w:spacing w:val="10"/>
          <w:szCs w:val="28"/>
        </w:rPr>
        <w:t>8</w:t>
      </w:r>
      <w:r>
        <w:rPr>
          <w:rFonts w:cs="Arial TUR;Arial" w:ascii="Arial TUR;Arial" w:hAnsi="Arial TUR;Arial"/>
          <w:spacing w:val="10"/>
          <w:szCs w:val="28"/>
          <w:rtl w:val="true"/>
        </w:rPr>
        <w:t>.</w:t>
        <w:tab/>
      </w:r>
      <w:r>
        <w:rPr>
          <w:rFonts w:ascii="Arial TUR;Arial" w:hAnsi="Arial TUR;Arial" w:cs="Arial TUR;Arial"/>
          <w:spacing w:val="10"/>
          <w:szCs w:val="28"/>
          <w:rtl w:val="true"/>
        </w:rPr>
        <w:t>בד בבד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אציין כי במסגרת קביעת מתחם העונש ההולם לאירוע בכללותו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יהיה מקום ליתן משקל לעובדה שכל אחד משבעת האישומים בהם הורשע הנאשם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 xml:space="preserve">מהווה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נפרד כמובנו של מונח זה </w:t>
      </w:r>
      <w:hyperlink r:id="rId2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186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סדר הדין הפלילי</w:t>
        </w:r>
      </w:hyperlink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נוסח משולב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],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szCs w:val="28"/>
          <w:rtl w:val="true"/>
        </w:rPr>
        <w:t>התשמ</w:t>
      </w:r>
      <w:r>
        <w:rPr>
          <w:rFonts w:cs="Arial TUR;Arial" w:ascii="Arial TUR;Arial" w:hAnsi="Arial TUR;Arial"/>
          <w:spacing w:val="10"/>
          <w:szCs w:val="28"/>
          <w:rtl w:val="true"/>
        </w:rPr>
        <w:t>"</w:t>
      </w:r>
      <w:r>
        <w:rPr>
          <w:rFonts w:ascii="Arial TUR;Arial" w:hAnsi="Arial TUR;Arial" w:cs="Arial TUR;Arial"/>
          <w:spacing w:val="10"/>
          <w:szCs w:val="28"/>
          <w:rtl w:val="true"/>
        </w:rPr>
        <w:t>ב</w:t>
      </w:r>
      <w:r>
        <w:rPr>
          <w:rFonts w:cs="Arial TUR;Arial" w:ascii="Arial TUR;Arial" w:hAnsi="Arial TUR;Arial"/>
          <w:spacing w:val="10"/>
          <w:szCs w:val="28"/>
          <w:rtl w:val="true"/>
        </w:rPr>
        <w:t>-</w:t>
      </w:r>
      <w:r>
        <w:rPr>
          <w:rFonts w:cs="Arial TUR;Arial" w:ascii="Arial TUR;Arial" w:hAnsi="Arial TUR;Arial"/>
          <w:spacing w:val="10"/>
          <w:szCs w:val="28"/>
        </w:rPr>
        <w:t>1982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szCs w:val="28"/>
          <w:rtl w:val="true"/>
        </w:rPr>
        <w:t>ברי כי טיב ומספר ה</w:t>
      </w:r>
      <w:r>
        <w:rPr>
          <w:rFonts w:cs="Arial TUR;Arial" w:ascii="Arial TUR;Arial" w:hAnsi="Arial TUR;Arial"/>
          <w:spacing w:val="10"/>
          <w:szCs w:val="28"/>
          <w:rtl w:val="true"/>
        </w:rPr>
        <w:t>"</w:t>
      </w:r>
      <w:r>
        <w:rPr>
          <w:rFonts w:ascii="Arial TUR;Arial" w:hAnsi="Arial TUR;Arial" w:cs="Arial TUR;Arial"/>
          <w:spacing w:val="10"/>
          <w:szCs w:val="28"/>
          <w:rtl w:val="true"/>
        </w:rPr>
        <w:t>מעשים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" </w:t>
      </w:r>
      <w:r>
        <w:rPr>
          <w:rFonts w:ascii="Arial TUR;Arial" w:hAnsi="Arial TUR;Arial" w:cs="Arial TUR;Arial"/>
          <w:spacing w:val="10"/>
          <w:szCs w:val="28"/>
          <w:rtl w:val="true"/>
        </w:rPr>
        <w:t>בגינם הורשע הנאשם</w:t>
      </w:r>
      <w:r>
        <w:rPr>
          <w:rFonts w:cs="Arial TUR;Aria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szCs w:val="28"/>
          <w:rtl w:val="true"/>
        </w:rPr>
        <w:t>ישוו מידה של חומרה שתשפיע על קביעת מתחם העונש ההולם הכולל בגין אותם המעשים</w:t>
      </w:r>
      <w:r>
        <w:rPr>
          <w:rFonts w:cs="Arial TUR;Arial" w:ascii="Arial TUR;Arial" w:hAnsi="Arial TUR;Arial"/>
          <w:spacing w:val="10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Arial TUR;Arial" w:hAnsi="Arial TUR;Arial" w:cs="David"/>
          <w:spacing w:val="10"/>
          <w:szCs w:val="28"/>
        </w:rPr>
      </w:pPr>
      <w:r>
        <w:rPr>
          <w:rFonts w:cs="Davi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Arial TUR;Arial"/>
          <w:b/>
          <w:bCs/>
          <w:spacing w:val="10"/>
          <w:szCs w:val="28"/>
        </w:rPr>
      </w:pPr>
      <w:r>
        <w:rPr>
          <w:rFonts w:ascii="Arial TUR;Arial" w:hAnsi="Arial TUR;Arial" w:cs="Arial TUR;Arial"/>
          <w:b/>
          <w:b/>
          <w:bCs/>
          <w:spacing w:val="10"/>
          <w:szCs w:val="28"/>
          <w:u w:val="single"/>
          <w:rtl w:val="true"/>
        </w:rPr>
        <w:t>מתחם העונש ההולם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בהתאם </w:t>
      </w:r>
      <w:hyperlink r:id="rId25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לסעיף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 לקבוע את מתחם הענישה ההולמת</w:t>
      </w:r>
      <w:r>
        <w:rPr>
          <w:rFonts w:ascii="Century" w:hAnsi="Century" w:cs="Century"/>
          <w:spacing w:val="10"/>
          <w:szCs w:val="28"/>
          <w:rtl w:val="true"/>
        </w:rPr>
        <w:t xml:space="preserve"> בהתאם לעקרון ההלימה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תוך התחשבות בערך החברתי שנפגע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במידת הפגיעה בו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בנסיבות הקשורות בביצוע העבירות ובמדיניות הענישה הנהוגה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Cs w:val="28"/>
        </w:rPr>
      </w:pPr>
      <w:r>
        <w:rPr>
          <w:rFonts w:cs="Century" w:ascii="Century" w:hAnsi="Century"/>
          <w:spacing w:val="10"/>
          <w:szCs w:val="28"/>
        </w:rPr>
        <w:t>10</w:t>
      </w:r>
      <w:r>
        <w:rPr>
          <w:rFonts w:cs="Century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Century"/>
          <w:b/>
          <w:b/>
          <w:bCs/>
          <w:spacing w:val="10"/>
          <w:szCs w:val="28"/>
          <w:rtl w:val="true"/>
        </w:rPr>
        <w:t>הערכים החברתיים</w:t>
      </w:r>
      <w:r>
        <w:rPr>
          <w:rFonts w:ascii="Century" w:hAnsi="Century" w:cs="Century"/>
          <w:spacing w:val="10"/>
          <w:szCs w:val="28"/>
          <w:rtl w:val="true"/>
        </w:rPr>
        <w:t xml:space="preserve"> המוגנים במסגרת עבירות בנשק </w:t>
      </w:r>
      <w:r>
        <w:rPr>
          <w:rFonts w:cs="Century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Century"/>
          <w:spacing w:val="10"/>
          <w:szCs w:val="28"/>
          <w:rtl w:val="true"/>
        </w:rPr>
        <w:t>ובכלל זה עבירת הסחר בנשק וניסיון לה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עבירת רכישת 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ועבירת קשירת קשר לביצוע פשע בנשק </w:t>
      </w:r>
      <w:r>
        <w:rPr>
          <w:rFonts w:cs="Century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Century"/>
          <w:spacing w:val="10"/>
          <w:szCs w:val="28"/>
          <w:rtl w:val="true"/>
        </w:rPr>
        <w:t>הם הגנה על שלום הציבור וביטחונו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עבירות אלה נועדו לשמור על שלמות גופו ורכושו של אדם מפני תוצאות הרסניות שעלולות להיגרם בגין שימוש בנשק על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>ידי מי שאינו מיומן בכך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או על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>ידי גורמים עברייניים או גורמי טרור שהנשק עלול לעבור מיד ליד ולהגיע אליהם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alibri" w:hAnsi="Calibri" w:cs="David"/>
          <w:szCs w:val="28"/>
        </w:rPr>
      </w:pPr>
      <w:r>
        <w:rPr>
          <w:rFonts w:cs="David" w:ascii="Calibri" w:hAnsi="Calibri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ascii="Century" w:hAnsi="Century" w:cs="David"/>
          <w:rtl w:val="true"/>
        </w:rPr>
        <w:t>בכל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הנוגע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b/>
          <w:b/>
          <w:bCs/>
          <w:rtl w:val="true"/>
        </w:rPr>
        <w:t>לנסיבות</w:t>
      </w:r>
      <w:r>
        <w:rPr>
          <w:rFonts w:ascii="Century" w:hAnsi="Century" w:eastAsia="Century" w:cs="Century"/>
          <w:b/>
          <w:b/>
          <w:bCs/>
          <w:rtl w:val="true"/>
        </w:rPr>
        <w:t xml:space="preserve"> </w:t>
      </w:r>
      <w:r>
        <w:rPr>
          <w:rFonts w:ascii="Century" w:hAnsi="Century" w:cs="David"/>
          <w:b/>
          <w:b/>
          <w:bCs/>
          <w:rtl w:val="true"/>
        </w:rPr>
        <w:t>ביצוע</w:t>
      </w:r>
      <w:r>
        <w:rPr>
          <w:rFonts w:ascii="Century" w:hAnsi="Century" w:eastAsia="Century" w:cs="Century"/>
          <w:b/>
          <w:b/>
          <w:bCs/>
          <w:rtl w:val="true"/>
        </w:rPr>
        <w:t xml:space="preserve"> </w:t>
      </w:r>
      <w:r>
        <w:rPr>
          <w:rFonts w:ascii="Century" w:hAnsi="Century" w:cs="David"/>
          <w:b/>
          <w:b/>
          <w:bCs/>
          <w:rtl w:val="true"/>
        </w:rPr>
        <w:t>העבירות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2-3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לדבריי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מצטיירת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שהנם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התקפי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נרכש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ששרר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שרכש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נמכרו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הפכו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פרנסה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מוקדם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לביצוען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ורצון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לרווח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להיכן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התגלגלו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עברייניות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לקרבה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Fonts w:cs="David"/>
          <w:rtl w:val="true"/>
        </w:rPr>
        <w:t>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וחלקן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כשלנאשם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בביצוען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באישומים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הראשון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איברהים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שיזם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ששילם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הכספית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לידיו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באישומים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השני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והשלישי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מוסבים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הכספית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תמורתם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הכספית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הרביעי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לבדו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מחסניות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שולמה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וחלקה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קיזוז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החמישי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דומיננטי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שיזם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הפנייה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שמוכר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לרשותו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הפועל</w:t>
      </w:r>
      <w:r>
        <w:rPr>
          <w:rFonts w:cs="David"/>
          <w:rtl w:val="true"/>
        </w:rPr>
        <w:t xml:space="preserve">). </w:t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שקישר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לסוחר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סוחר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>-</w:t>
      </w:r>
      <w:r>
        <w:rPr>
          <w:rFonts w:cs="David"/>
        </w:rPr>
        <w:t>M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הפועל</w:t>
      </w:r>
      <w:r>
        <w:rPr>
          <w:rFonts w:cs="David"/>
          <w:rtl w:val="true"/>
        </w:rPr>
        <w:t xml:space="preserve">). </w:t>
      </w:r>
      <w:r>
        <w:rPr>
          <w:rFonts w:cs="David"/>
          <w:b/>
          <w:b/>
          <w:bCs/>
          <w:rtl w:val="true"/>
        </w:rPr>
        <w:t>באישום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השביעי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שיזם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הפנייה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הפועל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והשוו</w:t>
      </w:r>
      <w:r>
        <w:rPr>
          <w:rFonts w:cs="David"/>
          <w:rtl w:val="true"/>
        </w:rPr>
        <w:t xml:space="preserve">: </w:t>
      </w:r>
      <w:hyperlink r:id="rId27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500/21</w:t>
        </w:r>
      </w:hyperlink>
      <w:r>
        <w:rPr>
          <w:rFonts w:cs="David"/>
          <w:rtl w:val="true"/>
        </w:rPr>
        <w:t xml:space="preserve"> </w:t>
      </w:r>
      <w:r>
        <w:rPr>
          <w:rFonts w:ascii="Miriam" w:hAnsi="Miriam" w:cs="David"/>
          <w:sz w:val="24"/>
          <w:sz w:val="24"/>
          <w:szCs w:val="24"/>
          <w:rtl w:val="true"/>
        </w:rPr>
        <w:t>פלוני</w:t>
      </w:r>
      <w:r>
        <w:rPr>
          <w:rFonts w:ascii="Miriam" w:hAnsi="Miriam" w:eastAsia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David"/>
          <w:sz w:val="24"/>
          <w:sz w:val="24"/>
          <w:szCs w:val="24"/>
          <w:rtl w:val="true"/>
        </w:rPr>
        <w:t>נ</w:t>
      </w:r>
      <w:r>
        <w:rPr>
          <w:rFonts w:cs="David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David"/>
          <w:sz w:val="24"/>
          <w:sz w:val="24"/>
          <w:szCs w:val="24"/>
          <w:rtl w:val="true"/>
        </w:rPr>
        <w:t>מדינת</w:t>
      </w:r>
      <w:r>
        <w:rPr>
          <w:rFonts w:ascii="Miriam" w:hAnsi="Miriam" w:eastAsia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David"/>
          <w:sz w:val="24"/>
          <w:sz w:val="24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31.5.2021</w:t>
      </w:r>
      <w:r>
        <w:rPr>
          <w:rFonts w:cs="David"/>
          <w:rtl w:val="true"/>
        </w:rPr>
        <w:t>)).</w:t>
      </w:r>
    </w:p>
    <w:p>
      <w:pPr>
        <w:pStyle w:val="Ruller41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מבחינת הענישה הנוהגת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העונש המרבי הקבוע בחוק בגין עבירה של</w:t>
      </w:r>
      <w:r>
        <w:rPr>
          <w:rFonts w:ascii="Century" w:hAnsi="Century" w:cs="Century"/>
          <w:spacing w:val="10"/>
          <w:szCs w:val="28"/>
          <w:rtl w:val="true"/>
        </w:rPr>
        <w:t xml:space="preserve"> סחר בנשק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הוא מאסר </w:t>
      </w:r>
      <w:r>
        <w:rPr>
          <w:rFonts w:cs="Century" w:ascii="Century" w:hAnsi="Century"/>
          <w:spacing w:val="10"/>
          <w:szCs w:val="28"/>
        </w:rPr>
        <w:t>15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שנים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העונש המרבי הקבוע בחוק בגין עבירה של רכישת 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הוא מאסר </w:t>
      </w:r>
      <w:r>
        <w:rPr>
          <w:rFonts w:cs="Century" w:ascii="Century" w:hAnsi="Century"/>
          <w:spacing w:val="10"/>
          <w:szCs w:val="28"/>
        </w:rPr>
        <w:t>7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שנים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העונש המרבי הקבוע בחוק בגין עבירה של קשירת קשר לביצוע פשע בנשק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הוא מאסר </w:t>
      </w:r>
      <w:r>
        <w:rPr>
          <w:rFonts w:cs="Century" w:ascii="Century" w:hAnsi="Century"/>
          <w:spacing w:val="10"/>
          <w:szCs w:val="28"/>
        </w:rPr>
        <w:t>7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שנים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בית המשפט העליון חזר פעם אחר פעם על החומרה הגלומה בעבירות בנשק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ועל פוטנציאל הפגיעה בנפש וברכוש שעלולה להיגרם כתוצאה מהן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בהלכה הפסוקה נקבע כי על דרך הכלל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יש להחמיר בענישתם של נאשמים שהורשעו בעבירות בנשק בכלל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ובעבירות של סחר ורכישה של נשק בפרט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נפסק כי הגם שהענישה היא לעולם אינדיבידואלית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הרי בעבירות נשק ראוי שבית המשפט ייתן משקל משמעותי יותר לאינטרס הציבורי ולצורך להרתיע עבריינים מלבצע עבירות דומות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ביחס לנסיבות האישיות של העבריין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בהתאם לכך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מדיניות הענישה הנוהגת מבוססת על הטלת עונשי מאסר לריצוי בפועל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וזאת גם לגבי מי שהוא נעדר עבר פלילי קודם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משך המאסר בפועל נגזר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בין היתר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מנסיבות המעשה ובהן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Century"/>
          <w:spacing w:val="10"/>
          <w:szCs w:val="28"/>
          <w:rtl w:val="true"/>
        </w:rPr>
        <w:t>טיב העבירה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סוג הנשק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כמות הנשק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התכלית לה נועד הנשק ועוד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Cs w:val="28"/>
          <w:rtl w:val="true"/>
        </w:rPr>
        <w:tab/>
      </w:r>
      <w:r>
        <w:rPr>
          <w:rFonts w:ascii="Miriam" w:hAnsi="Miriam" w:cs="Miriam"/>
          <w:spacing w:val="10"/>
          <w:rtl w:val="true"/>
        </w:rPr>
        <w:t>בכל הנוגע לעבירה של סחר בנשק</w:t>
      </w:r>
      <w:r>
        <w:rPr>
          <w:rFonts w:ascii="Century" w:hAnsi="Century" w:cs="Century"/>
          <w:spacing w:val="10"/>
          <w:szCs w:val="28"/>
          <w:rtl w:val="true"/>
        </w:rPr>
        <w:t xml:space="preserve"> – בשנת </w:t>
      </w:r>
      <w:r>
        <w:rPr>
          <w:rFonts w:cs="Century" w:ascii="Century" w:hAnsi="Century"/>
          <w:spacing w:val="10"/>
          <w:szCs w:val="28"/>
        </w:rPr>
        <w:t>2018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ניתן בבית המשפט העליון פסק דין שדן בהרחבה בענישה בגין העבירה האמורה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8045/17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בראנסי נ</w:t>
      </w:r>
      <w:r>
        <w:rPr>
          <w:rFonts w:cs="Century" w:ascii="Century" w:hAnsi="Century"/>
          <w:spacing w:val="10"/>
          <w:rtl w:val="true"/>
        </w:rPr>
        <w:t xml:space="preserve">' </w:t>
      </w:r>
      <w:r>
        <w:rPr>
          <w:rFonts w:ascii="Century" w:hAnsi="Century" w:cs="Century"/>
          <w:spacing w:val="10"/>
          <w:rtl w:val="true"/>
        </w:rPr>
        <w:t>מדינת ישראל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cs="Century" w:ascii="Century" w:hAnsi="Century"/>
          <w:spacing w:val="10"/>
          <w:szCs w:val="28"/>
        </w:rPr>
        <w:t>16.8.2018</w:t>
      </w:r>
      <w:r>
        <w:rPr>
          <w:rFonts w:cs="Century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Century"/>
          <w:spacing w:val="10"/>
          <w:szCs w:val="28"/>
          <w:rtl w:val="true"/>
        </w:rPr>
        <w:t>ב</w:t>
      </w:r>
      <w:hyperlink r:id="rId29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8045/17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בראנסי</w:t>
      </w:r>
      <w:r>
        <w:rPr>
          <w:rFonts w:ascii="Century" w:hAnsi="Century" w:cs="Century"/>
          <w:spacing w:val="10"/>
          <w:szCs w:val="28"/>
          <w:rtl w:val="true"/>
        </w:rPr>
        <w:t xml:space="preserve"> הנ</w:t>
      </w:r>
      <w:r>
        <w:rPr>
          <w:rFonts w:cs="Century" w:ascii="Century" w:hAnsi="Century"/>
          <w:spacing w:val="10"/>
          <w:szCs w:val="28"/>
          <w:rtl w:val="true"/>
        </w:rPr>
        <w:t>"</w:t>
      </w:r>
      <w:r>
        <w:rPr>
          <w:rFonts w:ascii="Century" w:hAnsi="Century" w:cs="Century"/>
          <w:spacing w:val="10"/>
          <w:szCs w:val="28"/>
          <w:rtl w:val="true"/>
        </w:rPr>
        <w:t>ל אושר מתחם עונש הולם שנע מ</w:t>
      </w:r>
      <w:r>
        <w:rPr>
          <w:rFonts w:cs="Century" w:ascii="Century" w:hAnsi="Century"/>
          <w:spacing w:val="10"/>
          <w:szCs w:val="28"/>
          <w:rtl w:val="true"/>
        </w:rPr>
        <w:t xml:space="preserve">- </w:t>
      </w:r>
      <w:r>
        <w:rPr>
          <w:rFonts w:cs="Century" w:ascii="Century" w:hAnsi="Century"/>
          <w:spacing w:val="10"/>
          <w:szCs w:val="28"/>
        </w:rPr>
        <w:t>2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עד </w:t>
      </w:r>
      <w:r>
        <w:rPr>
          <w:rFonts w:cs="Century" w:ascii="Century" w:hAnsi="Century"/>
          <w:spacing w:val="10"/>
          <w:szCs w:val="28"/>
        </w:rPr>
        <w:t>5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שנות מאסר בפועל בגין </w:t>
      </w:r>
      <w:r>
        <w:rPr>
          <w:rFonts w:ascii="Century" w:hAnsi="Century" w:cs="Century"/>
          <w:spacing w:val="10"/>
          <w:szCs w:val="28"/>
          <w:u w:val="single"/>
          <w:rtl w:val="true"/>
        </w:rPr>
        <w:t>מכירה</w:t>
      </w:r>
      <w:r>
        <w:rPr>
          <w:rFonts w:ascii="Century" w:hAnsi="Century" w:cs="Century"/>
          <w:spacing w:val="10"/>
          <w:szCs w:val="28"/>
          <w:rtl w:val="true"/>
        </w:rPr>
        <w:t xml:space="preserve"> של רובה סער </w:t>
      </w:r>
      <w:r>
        <w:rPr>
          <w:rFonts w:ascii="Century" w:hAnsi="Century" w:cs="Century"/>
          <w:spacing w:val="10"/>
          <w:szCs w:val="28"/>
          <w:u w:val="single"/>
          <w:rtl w:val="true"/>
        </w:rPr>
        <w:t>אחד</w:t>
      </w:r>
      <w:r>
        <w:rPr>
          <w:rFonts w:ascii="Century" w:hAnsi="Century" w:cs="Century"/>
          <w:spacing w:val="10"/>
          <w:szCs w:val="28"/>
          <w:rtl w:val="true"/>
        </w:rPr>
        <w:t xml:space="preserve"> מסוג קלצ</w:t>
      </w:r>
      <w:r>
        <w:rPr>
          <w:rFonts w:cs="Century" w:ascii="Century" w:hAnsi="Century"/>
          <w:spacing w:val="10"/>
          <w:szCs w:val="28"/>
          <w:rtl w:val="true"/>
        </w:rPr>
        <w:t>'</w:t>
      </w:r>
      <w:r>
        <w:rPr>
          <w:rFonts w:ascii="Century" w:hAnsi="Century" w:cs="Century"/>
          <w:spacing w:val="10"/>
          <w:szCs w:val="28"/>
          <w:rtl w:val="true"/>
        </w:rPr>
        <w:t xml:space="preserve">ניקוב וכן קשירת קשר לביצוע פשע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פס</w:t>
      </w:r>
      <w:r>
        <w:rPr>
          <w:rFonts w:cs="Century" w:ascii="Century" w:hAnsi="Century"/>
          <w:spacing w:val="10"/>
          <w:szCs w:val="28"/>
          <w:rtl w:val="true"/>
        </w:rPr>
        <w:t xml:space="preserve">' </w:t>
      </w:r>
      <w:r>
        <w:rPr>
          <w:rFonts w:cs="Century" w:ascii="Century" w:hAnsi="Century"/>
          <w:spacing w:val="10"/>
          <w:szCs w:val="28"/>
        </w:rPr>
        <w:t>62-68</w:t>
      </w:r>
      <w:r>
        <w:rPr>
          <w:rFonts w:cs="Century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Century"/>
          <w:spacing w:val="10"/>
          <w:szCs w:val="28"/>
          <w:rtl w:val="true"/>
        </w:rPr>
        <w:t>במקרה שלפניי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המתחם בעניינו של הנאשם צריך להיות חמור משמעותית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שכן הנאשם מכר </w:t>
      </w:r>
      <w:r>
        <w:rPr>
          <w:rFonts w:ascii="Century" w:hAnsi="Century" w:cs="Century"/>
          <w:spacing w:val="10"/>
          <w:szCs w:val="28"/>
          <w:u w:val="single"/>
          <w:rtl w:val="true"/>
        </w:rPr>
        <w:t>שני</w:t>
      </w:r>
      <w:r>
        <w:rPr>
          <w:rFonts w:ascii="Century" w:hAnsi="Century" w:cs="Century"/>
          <w:spacing w:val="10"/>
          <w:szCs w:val="28"/>
          <w:rtl w:val="true"/>
        </w:rPr>
        <w:t xml:space="preserve"> רובי סער מסוג </w:t>
      </w: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M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מוסב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וכן רובה </w:t>
      </w:r>
      <w:r>
        <w:rPr>
          <w:rFonts w:ascii="Century" w:hAnsi="Century" w:cs="Century"/>
          <w:spacing w:val="10"/>
          <w:szCs w:val="28"/>
          <w:u w:val="single"/>
          <w:rtl w:val="true"/>
        </w:rPr>
        <w:t>אחד</w:t>
      </w:r>
      <w:r>
        <w:rPr>
          <w:rFonts w:ascii="Century" w:hAnsi="Century" w:cs="Century"/>
          <w:spacing w:val="10"/>
          <w:szCs w:val="28"/>
          <w:rtl w:val="true"/>
        </w:rPr>
        <w:t xml:space="preserve"> מסוג עוזי ושתי מחסניות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וזאת בתמורה כספית ניכרת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cs="Century" w:ascii="Century" w:hAnsi="Century"/>
          <w:spacing w:val="10"/>
          <w:szCs w:val="28"/>
        </w:rPr>
        <w:t>36,000</w:t>
      </w:r>
      <w:r>
        <w:rPr>
          <w:rFonts w:cs="Century" w:ascii="Century" w:hAnsi="Century"/>
          <w:spacing w:val="10"/>
          <w:szCs w:val="28"/>
          <w:rtl w:val="true"/>
        </w:rPr>
        <w:t xml:space="preserve"> ₪ </w:t>
      </w:r>
      <w:r>
        <w:rPr>
          <w:rFonts w:ascii="Century" w:hAnsi="Century" w:cs="Century"/>
          <w:spacing w:val="10"/>
          <w:szCs w:val="28"/>
          <w:rtl w:val="true"/>
        </w:rPr>
        <w:t>באישום השני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cs="Century" w:ascii="Century" w:hAnsi="Century"/>
          <w:spacing w:val="10"/>
          <w:szCs w:val="28"/>
        </w:rPr>
        <w:t>36,000</w:t>
      </w:r>
      <w:r>
        <w:rPr>
          <w:rFonts w:cs="Century" w:ascii="Century" w:hAnsi="Century"/>
          <w:spacing w:val="10"/>
          <w:szCs w:val="28"/>
          <w:rtl w:val="true"/>
        </w:rPr>
        <w:t xml:space="preserve"> ₪ </w:t>
      </w:r>
      <w:r>
        <w:rPr>
          <w:rFonts w:ascii="Century" w:hAnsi="Century" w:cs="Century"/>
          <w:spacing w:val="10"/>
          <w:szCs w:val="28"/>
          <w:rtl w:val="true"/>
        </w:rPr>
        <w:t>באישום השלישי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Century"/>
          <w:spacing w:val="10"/>
          <w:szCs w:val="28"/>
          <w:rtl w:val="true"/>
        </w:rPr>
        <w:t>ו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34,000</w:t>
      </w:r>
      <w:r>
        <w:rPr>
          <w:rFonts w:cs="Century" w:ascii="Century" w:hAnsi="Century"/>
          <w:spacing w:val="10"/>
          <w:szCs w:val="28"/>
          <w:rtl w:val="true"/>
        </w:rPr>
        <w:t xml:space="preserve"> ₪ </w:t>
      </w:r>
      <w:r>
        <w:rPr>
          <w:rFonts w:ascii="Century" w:hAnsi="Century" w:cs="Century"/>
          <w:spacing w:val="10"/>
          <w:szCs w:val="28"/>
          <w:rtl w:val="true"/>
        </w:rPr>
        <w:t>באישום הרביעי</w:t>
      </w:r>
      <w:r>
        <w:rPr>
          <w:rFonts w:cs="Century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Century"/>
          <w:spacing w:val="10"/>
          <w:szCs w:val="28"/>
          <w:rtl w:val="true"/>
        </w:rPr>
        <w:t>בנוסף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הנאשם הורשע בכך שניסה לסחור בכדורים לרובה מסוג </w:t>
      </w: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M</w:t>
      </w:r>
      <w:r>
        <w:rPr>
          <w:rFonts w:cs="Century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Century"/>
          <w:spacing w:val="10"/>
          <w:szCs w:val="28"/>
          <w:rtl w:val="true"/>
        </w:rPr>
        <w:t>האישום השישי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 xml:space="preserve">וכן הורשע בשתי עבירות של קשירת קשר לביצוע פשע של סחר בנשק או סחר בתחמושת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האישומים החמישי והשישי</w:t>
      </w:r>
      <w:r>
        <w:rPr>
          <w:rFonts w:cs="Century" w:ascii="Century" w:hAnsi="Century"/>
          <w:spacing w:val="10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David"/>
          <w:spacing w:val="10"/>
          <w:szCs w:val="28"/>
        </w:rPr>
      </w:pPr>
      <w:r>
        <w:rPr>
          <w:rFonts w:cs="David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Miriam" w:hAnsi="Miriam" w:cs="Miriam"/>
          <w:spacing w:val="10"/>
          <w:rtl w:val="true"/>
        </w:rPr>
        <w:t>אשר לעבירה של רכישת נשק</w:t>
      </w:r>
      <w:r>
        <w:rPr>
          <w:rFonts w:ascii="Century" w:hAnsi="Century" w:cs="Century"/>
          <w:spacing w:val="10"/>
          <w:szCs w:val="28"/>
          <w:rtl w:val="true"/>
        </w:rPr>
        <w:t xml:space="preserve"> – כאשר מדובר </w:t>
      </w:r>
      <w:r>
        <w:rPr>
          <w:rFonts w:ascii="Century" w:hAnsi="Century" w:cs="Century"/>
          <w:spacing w:val="10"/>
          <w:szCs w:val="28"/>
          <w:u w:val="single"/>
          <w:rtl w:val="true"/>
        </w:rPr>
        <w:t>ברכישה</w:t>
      </w:r>
      <w:r>
        <w:rPr>
          <w:rFonts w:ascii="Century" w:hAnsi="Century" w:cs="Century"/>
          <w:spacing w:val="10"/>
          <w:szCs w:val="28"/>
          <w:rtl w:val="true"/>
        </w:rPr>
        <w:t xml:space="preserve"> של רובה סער </w:t>
      </w:r>
      <w:r>
        <w:rPr>
          <w:rFonts w:ascii="Century" w:hAnsi="Century" w:cs="Century"/>
          <w:spacing w:val="10"/>
          <w:szCs w:val="28"/>
          <w:u w:val="single"/>
          <w:rtl w:val="true"/>
        </w:rPr>
        <w:t>אחד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נראה כי מתחם העונש ההולם מתחיל במספר דו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>ספרתי של חודשי מאסר בפועל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ניתן להפנות בהקשר זה ל</w:t>
      </w:r>
      <w:hyperlink r:id="rId30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1658/20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ג</w:t>
      </w:r>
      <w:r>
        <w:rPr>
          <w:rFonts w:cs="Miriam" w:ascii="Miriam" w:hAnsi="Miriam"/>
          <w:spacing w:val="10"/>
          <w:rtl w:val="true"/>
        </w:rPr>
        <w:t>'</w:t>
      </w:r>
      <w:r>
        <w:rPr>
          <w:rFonts w:ascii="Miriam" w:hAnsi="Miriam" w:cs="Miriam"/>
          <w:spacing w:val="10"/>
          <w:rtl w:val="true"/>
        </w:rPr>
        <w:t>מאחנה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cs="Century" w:ascii="Century" w:hAnsi="Century"/>
          <w:spacing w:val="10"/>
          <w:szCs w:val="28"/>
        </w:rPr>
        <w:t>12.6.2020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 xml:space="preserve">שם בית המשפט העליון אישר עונש של </w:t>
      </w:r>
      <w:r>
        <w:rPr>
          <w:rFonts w:cs="Century" w:ascii="Century" w:hAnsi="Century"/>
          <w:spacing w:val="10"/>
          <w:szCs w:val="28"/>
        </w:rPr>
        <w:t>24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חודשי מאסר בפועל בגין רכישת נשק מסוג </w:t>
      </w: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M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נשיאתו והובלתו על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>ידי המערער באותה פרשה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שהיה חסר עבר פלילי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אמנם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הנאשם שלפניי לא הורשע בעבירה של נשיאה והובלה של נשק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עם זאת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יש בפסק הדין שניתן ב</w:t>
      </w:r>
      <w:hyperlink r:id="rId31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1658/20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ג</w:t>
      </w:r>
      <w:r>
        <w:rPr>
          <w:rFonts w:cs="Miriam" w:ascii="Miriam" w:hAnsi="Miriam"/>
          <w:spacing w:val="10"/>
          <w:rtl w:val="true"/>
        </w:rPr>
        <w:t>'</w:t>
      </w:r>
      <w:r>
        <w:rPr>
          <w:rFonts w:ascii="Miriam" w:hAnsi="Miriam" w:cs="Miriam"/>
          <w:spacing w:val="10"/>
          <w:rtl w:val="true"/>
        </w:rPr>
        <w:t>מאחנה</w:t>
      </w:r>
      <w:r>
        <w:rPr>
          <w:rFonts w:ascii="Century" w:hAnsi="Century" w:cs="Century"/>
          <w:spacing w:val="10"/>
          <w:szCs w:val="28"/>
          <w:rtl w:val="true"/>
        </w:rPr>
        <w:t xml:space="preserve"> הנ</w:t>
      </w:r>
      <w:r>
        <w:rPr>
          <w:rFonts w:cs="Century" w:ascii="Century" w:hAnsi="Century"/>
          <w:spacing w:val="10"/>
          <w:szCs w:val="28"/>
          <w:rtl w:val="true"/>
        </w:rPr>
        <w:t>"</w:t>
      </w:r>
      <w:r>
        <w:rPr>
          <w:rFonts w:ascii="Century" w:hAnsi="Century" w:cs="Century"/>
          <w:spacing w:val="10"/>
          <w:szCs w:val="28"/>
          <w:rtl w:val="true"/>
        </w:rPr>
        <w:t>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כדי ללמד על החומרה שההלכה הפסוקה מייחסת לעבירה של רכישת נשק והחזקתו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ראו גם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ש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56762-03-21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מדינת ישראל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קאצאעי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cs="Century" w:ascii="Century" w:hAnsi="Century"/>
          <w:spacing w:val="10"/>
          <w:szCs w:val="28"/>
        </w:rPr>
        <w:t>10.11.2021</w:t>
      </w:r>
      <w:r>
        <w:rPr>
          <w:rFonts w:cs="Century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Century"/>
          <w:spacing w:val="10"/>
          <w:szCs w:val="28"/>
          <w:rtl w:val="true"/>
        </w:rPr>
        <w:t>וההפניות שם</w:t>
      </w:r>
      <w:r>
        <w:rPr>
          <w:rFonts w:cs="Century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Century"/>
          <w:spacing w:val="10"/>
          <w:szCs w:val="28"/>
          <w:rtl w:val="true"/>
        </w:rPr>
        <w:t>בהמשך לכך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אזכיר כי הנאשם שלפניי הורשע </w:t>
      </w:r>
      <w:r>
        <w:rPr>
          <w:rFonts w:ascii="Century" w:hAnsi="Century" w:cs="Century"/>
          <w:spacing w:val="10"/>
          <w:szCs w:val="28"/>
          <w:u w:val="single"/>
          <w:rtl w:val="true"/>
        </w:rPr>
        <w:t>בשלוש</w:t>
      </w:r>
      <w:r>
        <w:rPr>
          <w:rFonts w:ascii="Century" w:hAnsi="Century" w:cs="Century"/>
          <w:spacing w:val="10"/>
          <w:szCs w:val="28"/>
          <w:rtl w:val="true"/>
        </w:rPr>
        <w:t xml:space="preserve"> עבירות של רכישת 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וזאת ביחס לרובה מסוג </w:t>
      </w: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M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ומחסנית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האישום ראשון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 xml:space="preserve">וכן ביחס לשני רובי </w:t>
      </w: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M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מוסבים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האישומים השני והשלישי</w:t>
      </w:r>
      <w:r>
        <w:rPr>
          <w:rFonts w:cs="Century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Century"/>
          <w:spacing w:val="10"/>
          <w:szCs w:val="28"/>
          <w:rtl w:val="true"/>
        </w:rPr>
        <w:t>זאת ועוד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Century"/>
          <w:spacing w:val="10"/>
          <w:szCs w:val="28"/>
          <w:rtl w:val="true"/>
        </w:rPr>
        <w:t>בחלק מהמקרים הנאשם רכש את הנשק מלכתחילה לצורך מכירתו לאחר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וזאת לשם הפקת רווח כספי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מדובר בנסיבה מחמירה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כמו כן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הנאשם הורשע בעבירה אחת של קשירת קשר לביצוע פשע מסוג רכישת נשק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האישום השביעי</w:t>
      </w:r>
      <w:r>
        <w:rPr>
          <w:rFonts w:cs="Century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Century"/>
          <w:spacing w:val="10"/>
          <w:szCs w:val="28"/>
          <w:rtl w:val="true"/>
        </w:rPr>
        <w:t>מטבע הדברים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ריבוי העבירות ישליך על מתחם העונש ההולם הכולל בגינן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Century"/>
          <w:spacing w:val="10"/>
          <w:szCs w:val="28"/>
        </w:rPr>
      </w:pPr>
      <w:r>
        <w:rPr>
          <w:rFonts w:ascii="Century" w:hAnsi="Century" w:cs="Century"/>
          <w:spacing w:val="10"/>
          <w:szCs w:val="28"/>
          <w:rtl w:val="true"/>
        </w:rPr>
        <w:t>למען שלמות התמונה וטרם קביעת המתחם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אציין כי יש לראות בחומרה לא רק את העבירות של סחר ורכישת 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אלא גם את העבירה של קשירת קשר לביצוע עבירות אלה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אמנם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במסגרת העבירה של קשירת קשר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המכירה או הרכישה של הנשק לא יוצאות אל הפועל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עם זאת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קשירת הקשר כשלעצמה מקימה פוטנציאל לפגיעה משמעותית בשלום הציבור ובביטחונו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לא פעם הקושרים מעוניינים בהגשמת תכניתם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והעדר מימושה נובע מנסיבות חיצוניות שבלעדיהן התכנית העבריינית הייתה מתממשת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מכאן הסיכון הטמון בעבירה זו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Cs w:val="28"/>
        </w:rPr>
        <w:t>13</w:t>
      </w:r>
      <w:r>
        <w:rPr>
          <w:rFonts w:cs="Century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Century"/>
          <w:spacing w:val="10"/>
          <w:szCs w:val="28"/>
          <w:rtl w:val="true"/>
        </w:rPr>
        <w:t>בהתחשב בערכים שנפגעו ובעוצמת הפגיעה בערכים אלה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Century"/>
          <w:spacing w:val="10"/>
          <w:szCs w:val="28"/>
          <w:rtl w:val="true"/>
        </w:rPr>
        <w:t>בנסיבות ביצוע כלל העבירות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Century"/>
          <w:spacing w:val="10"/>
          <w:szCs w:val="28"/>
          <w:rtl w:val="true"/>
        </w:rPr>
        <w:t>במדיניות הענישה הנוהגת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Century"/>
          <w:spacing w:val="10"/>
          <w:szCs w:val="28"/>
          <w:rtl w:val="true"/>
        </w:rPr>
        <w:t>ובעקרון ההלימה המהווה עקרון מנחה בענישה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Century"/>
          <w:spacing w:val="10"/>
          <w:szCs w:val="28"/>
          <w:rtl w:val="true"/>
        </w:rPr>
        <w:t>אני סבורה כי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szCs w:val="28"/>
          <w:rtl w:val="true"/>
        </w:rPr>
        <w:t>מתחם העונש ההולם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בגין שבעת האישומים בהם הורשע הנאשם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שכוללים שלוש עבירות של סחר בנשק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 xml:space="preserve">שני </w:t>
      </w: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M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מוסבים ורובה עוזי אחד עם שתי מחסניות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 xml:space="preserve">שלוש עבירות של רכישה והחזקה של נשק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 xml:space="preserve">רובה </w:t>
      </w: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M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עם מחסנית ורצועה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וכן שני </w:t>
      </w: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M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מוסבים שנמכרו לאחרים לאחר רכישתם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>שלוש עבירות של קשירת קשר לביצוע פשע מסוג סחר בנשק או בתחמושת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ועבירה אחת של ניסיון לסחר בתחמושת – </w:t>
      </w:r>
      <w:r>
        <w:rPr>
          <w:rFonts w:ascii="Century" w:hAnsi="Century" w:cs="Century"/>
          <w:b/>
          <w:b/>
          <w:bCs/>
          <w:spacing w:val="10"/>
          <w:szCs w:val="28"/>
          <w:rtl w:val="true"/>
        </w:rPr>
        <w:t>הנו מ</w:t>
      </w:r>
      <w:r>
        <w:rPr>
          <w:rFonts w:cs="Century" w:ascii="Century" w:hAnsi="Century"/>
          <w:b/>
          <w:bCs/>
          <w:spacing w:val="10"/>
          <w:szCs w:val="28"/>
          <w:rtl w:val="true"/>
        </w:rPr>
        <w:t>-</w:t>
      </w:r>
      <w:r>
        <w:rPr>
          <w:rFonts w:cs="Century" w:ascii="Century" w:hAnsi="Century"/>
          <w:b/>
          <w:bCs/>
          <w:spacing w:val="10"/>
          <w:szCs w:val="28"/>
        </w:rPr>
        <w:t>6</w:t>
      </w:r>
      <w:r>
        <w:rPr>
          <w:rFonts w:cs="Century" w:ascii="Century" w:hAnsi="Century"/>
          <w:b/>
          <w:bCs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szCs w:val="28"/>
          <w:rtl w:val="true"/>
        </w:rPr>
        <w:t xml:space="preserve">עד </w:t>
      </w:r>
      <w:r>
        <w:rPr>
          <w:rFonts w:cs="Century" w:ascii="Century" w:hAnsi="Century"/>
          <w:b/>
          <w:bCs/>
          <w:spacing w:val="10"/>
          <w:szCs w:val="28"/>
        </w:rPr>
        <w:t>10</w:t>
      </w:r>
      <w:r>
        <w:rPr>
          <w:rFonts w:cs="Century" w:ascii="Century" w:hAnsi="Century"/>
          <w:b/>
          <w:bCs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szCs w:val="28"/>
          <w:rtl w:val="true"/>
        </w:rPr>
        <w:t>שנות מאסר בפועל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Cs w:val="28"/>
        </w:rPr>
        <w:t>14</w:t>
      </w:r>
      <w:r>
        <w:rPr>
          <w:rFonts w:cs="Century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Century"/>
          <w:spacing w:val="10"/>
          <w:szCs w:val="28"/>
          <w:rtl w:val="true"/>
        </w:rPr>
        <w:t>בנסיבות העניין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אני בדעה כי מתחם העונש ההולם כולל גם רכיב של קנס כספי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זאת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בשים לב לכך שהעבירות בוצעו עבור בצע כסף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וכן בהתחשב בכך שהנאשם ביצע עסקאות סחר בנשק ששווין הכולל הוא בסך של עשרות אלפי ₪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ודוק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נתתי דעתי לכך ששיעור הרווח הכספי מביצוע העבירות הוא פחוּת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וכי היה על הנאשם להתחלק ברווח האמור עם אחרים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אף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>על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>פי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>כן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לא ניתן להימנע מהטלת קנס בשיעור ממשי שירתיע מפני הישנות העבירות הנדונות שהמניע לביצוען הוא הפקת תועלת כספית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ראו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6771/12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קאסם נ</w:t>
      </w:r>
      <w:r>
        <w:rPr>
          <w:rFonts w:cs="Century" w:ascii="Century" w:hAnsi="Century"/>
          <w:spacing w:val="10"/>
          <w:rtl w:val="true"/>
        </w:rPr>
        <w:t xml:space="preserve">' </w:t>
      </w:r>
      <w:r>
        <w:rPr>
          <w:rFonts w:ascii="Century" w:hAnsi="Century" w:cs="Century"/>
          <w:spacing w:val="10"/>
          <w:rtl w:val="true"/>
        </w:rPr>
        <w:t>מדינת ישראל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cs="Century" w:ascii="Century" w:hAnsi="Century"/>
          <w:spacing w:val="10"/>
          <w:szCs w:val="28"/>
        </w:rPr>
        <w:t>3.12.13</w:t>
      </w:r>
      <w:r>
        <w:rPr>
          <w:rFonts w:cs="Century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Century"/>
          <w:spacing w:val="10"/>
          <w:szCs w:val="28"/>
          <w:rtl w:val="true"/>
        </w:rPr>
        <w:t>אזכיר כי בהתאם להלכה הפסוקה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גובה הקנס הכספי אינו מוגבל בהכרח לגובה הרווח הכלכלי שהנאשם הפיק מביצוע העבירות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שיעור הקנס כפוף לעקרון ההלימה ועליו לבטא את חומרת העבירות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נסיבות ביצוען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ומידת פגיעתן בערכים המוגנים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ראו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בראנסי</w:t>
      </w:r>
      <w:r>
        <w:rPr>
          <w:rFonts w:ascii="Century" w:hAnsi="Century" w:cs="Century"/>
          <w:spacing w:val="10"/>
          <w:szCs w:val="28"/>
          <w:rtl w:val="true"/>
        </w:rPr>
        <w:t xml:space="preserve"> הנ</w:t>
      </w:r>
      <w:r>
        <w:rPr>
          <w:rFonts w:cs="Century" w:ascii="Century" w:hAnsi="Century"/>
          <w:spacing w:val="10"/>
          <w:szCs w:val="28"/>
          <w:rtl w:val="true"/>
        </w:rPr>
        <w:t>"</w:t>
      </w:r>
      <w:r>
        <w:rPr>
          <w:rFonts w:ascii="Century" w:hAnsi="Century" w:cs="Century"/>
          <w:spacing w:val="10"/>
          <w:szCs w:val="28"/>
          <w:rtl w:val="true"/>
        </w:rPr>
        <w:t>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פס</w:t>
      </w:r>
      <w:r>
        <w:rPr>
          <w:rFonts w:cs="Century" w:ascii="Century" w:hAnsi="Century"/>
          <w:spacing w:val="10"/>
          <w:szCs w:val="28"/>
          <w:rtl w:val="true"/>
        </w:rPr>
        <w:t xml:space="preserve">' </w:t>
      </w:r>
      <w:r>
        <w:rPr>
          <w:rFonts w:cs="Century" w:ascii="Century" w:hAnsi="Century"/>
          <w:spacing w:val="10"/>
          <w:szCs w:val="28"/>
        </w:rPr>
        <w:t>22</w:t>
      </w:r>
      <w:r>
        <w:rPr>
          <w:rFonts w:cs="Century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Century"/>
          <w:spacing w:val="10"/>
          <w:szCs w:val="28"/>
          <w:rtl w:val="true"/>
        </w:rPr>
        <w:t>בהתחשב בכל אלה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אני קובעת כי </w:t>
      </w:r>
      <w:r>
        <w:rPr>
          <w:rFonts w:ascii="Century" w:hAnsi="Century" w:cs="Century"/>
          <w:b/>
          <w:b/>
          <w:bCs/>
          <w:spacing w:val="10"/>
          <w:szCs w:val="28"/>
          <w:rtl w:val="true"/>
        </w:rPr>
        <w:t>מתחם הקנס ההולם</w:t>
      </w:r>
      <w:r>
        <w:rPr>
          <w:rFonts w:ascii="Century" w:hAnsi="Century" w:cs="Century"/>
          <w:spacing w:val="10"/>
          <w:szCs w:val="28"/>
          <w:rtl w:val="true"/>
        </w:rPr>
        <w:t xml:space="preserve"> בגין מכלול העבירות בהן הורשע הנאשם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מתחיל מסכום של </w:t>
      </w:r>
      <w:r>
        <w:rPr>
          <w:rFonts w:cs="Century" w:ascii="Century" w:hAnsi="Century"/>
          <w:spacing w:val="10"/>
          <w:szCs w:val="28"/>
        </w:rPr>
        <w:t>20,000</w:t>
      </w:r>
      <w:r>
        <w:rPr>
          <w:rFonts w:cs="Century" w:ascii="Century" w:hAnsi="Century"/>
          <w:spacing w:val="10"/>
          <w:szCs w:val="28"/>
          <w:rtl w:val="true"/>
        </w:rPr>
        <w:t xml:space="preserve"> ₪ </w:t>
      </w:r>
      <w:r>
        <w:rPr>
          <w:rFonts w:ascii="Century" w:hAnsi="Century" w:cs="Century"/>
          <w:spacing w:val="10"/>
          <w:szCs w:val="28"/>
          <w:rtl w:val="true"/>
        </w:rPr>
        <w:t>ומעלה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b/>
          <w:bCs/>
          <w:spacing w:val="10"/>
          <w:szCs w:val="28"/>
          <w:u w:val="single"/>
        </w:rPr>
      </w:pPr>
      <w:r>
        <w:rPr>
          <w:rFonts w:ascii="Century" w:hAnsi="Century" w:cs="Century"/>
          <w:b/>
          <w:b/>
          <w:bCs/>
          <w:spacing w:val="10"/>
          <w:szCs w:val="28"/>
          <w:u w:val="single"/>
          <w:rtl w:val="true"/>
        </w:rPr>
        <w:t>גזירת העונש המתאים בגדרי המתחם שנקבע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Cs w:val="28"/>
        </w:rPr>
        <w:t>15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Century"/>
          <w:spacing w:val="10"/>
          <w:szCs w:val="28"/>
          <w:rtl w:val="true"/>
        </w:rPr>
        <w:t>לא התבקשתי ואף לא ראיתי לחרוג ממתחם העונש ההולם לחומרה או לקולא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לצורך גזירת העונש המתאים במסגרת המתחם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יש להתחשב בנסיבות שאינן קשורות בביצוע העבירות כאמור </w:t>
      </w:r>
      <w:hyperlink r:id="rId35">
        <w:r>
          <w:rPr>
            <w:rStyle w:val="Hyperlink"/>
            <w:rFonts w:ascii="Century" w:hAnsi="Century" w:cs="Century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pacing w:val="10"/>
            <w:szCs w:val="28"/>
          </w:rPr>
          <w:t>40</w:t>
        </w:r>
        <w:r>
          <w:rPr>
            <w:rStyle w:val="Hyperlink"/>
            <w:rFonts w:ascii="Century" w:hAnsi="Century" w:cs="Century"/>
            <w:spacing w:val="10"/>
            <w:szCs w:val="28"/>
            <w:rtl w:val="true"/>
          </w:rPr>
          <w:t>יא</w:t>
        </w:r>
      </w:hyperlink>
      <w:r>
        <w:rPr>
          <w:rFonts w:ascii="Century" w:hAnsi="Century" w:cs="Century"/>
          <w:spacing w:val="10"/>
          <w:szCs w:val="28"/>
          <w:rtl w:val="true"/>
        </w:rPr>
        <w:t xml:space="preserve"> ל</w:t>
      </w:r>
      <w:hyperlink r:id="rId36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Century"/>
          <w:b/>
          <w:b/>
          <w:bCs/>
          <w:spacing w:val="10"/>
          <w:szCs w:val="28"/>
          <w:rtl w:val="true"/>
        </w:rPr>
        <w:t>לטובת הנאשם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שקלתי את עברו הפלילי הנקי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וכן את העובדה שהוא הודה ונטל אחריות למעשיו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יצוין כי שיתוף הפעולה של הנאשם עם רשויות החקירה והודאתו במעשים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תרמו לחשיפת פרטיהם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שכן אין מדובר בתיק בו הופעל סוכן משטרתי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נתון זה הוא בעל משקל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לכך יש להוסיף את נסיבותיו המשפחתיות של הנאשם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ואת העובדה שעסקינן בבחור צעיר שבתו התינוקת נולדה בעודו שוהה במעצר בתיק זה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עוד התחשבתי בהתרשמות שירות המבחן לפיה המעצר הציב לנאשם גבול הרתעתי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וכי הוא מגלה מודעות למחירי מעשיו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בנוסף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נתתי משקל לכך שהנאשם מונה כתומך באגף בו הוא שוהה בבית המעצר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וכי שירות המבחן המליץ לשלבו בטיפול בכלא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Cs w:val="28"/>
          <w:rtl w:val="true"/>
        </w:rPr>
        <w:tab/>
      </w:r>
      <w:r>
        <w:rPr>
          <w:rFonts w:ascii="Century" w:hAnsi="Century" w:cs="Century"/>
          <w:b/>
          <w:b/>
          <w:bCs/>
          <w:spacing w:val="10"/>
          <w:szCs w:val="28"/>
          <w:rtl w:val="true"/>
        </w:rPr>
        <w:t>לחובת הנאשם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שקלתי את הצורך בהרתעת היחיד ובהרתעת הרבים מפני הישנות עבירות נשק שמסוכנותן רבה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ראו גם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hyperlink r:id="rId37">
        <w:r>
          <w:rPr>
            <w:rStyle w:val="Hyperlink"/>
            <w:rFonts w:ascii="Century" w:hAnsi="Century" w:cs="Century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pacing w:val="10"/>
            <w:szCs w:val="28"/>
          </w:rPr>
          <w:t>40</w:t>
        </w:r>
        <w:r>
          <w:rPr>
            <w:rStyle w:val="Hyperlink"/>
            <w:rFonts w:ascii="Century" w:hAnsi="Century" w:cs="Century"/>
            <w:spacing w:val="10"/>
            <w:szCs w:val="28"/>
            <w:rtl w:val="true"/>
          </w:rPr>
          <w:t>ו</w:t>
        </w:r>
      </w:hyperlink>
      <w:r>
        <w:rPr>
          <w:rFonts w:ascii="Century" w:hAnsi="Century" w:cs="Century"/>
          <w:spacing w:val="10"/>
          <w:szCs w:val="28"/>
          <w:rtl w:val="true"/>
        </w:rPr>
        <w:t xml:space="preserve"> ו</w:t>
      </w:r>
      <w:r>
        <w:rPr>
          <w:rFonts w:cs="Century" w:ascii="Century" w:hAnsi="Century"/>
          <w:spacing w:val="10"/>
          <w:szCs w:val="28"/>
          <w:rtl w:val="true"/>
        </w:rPr>
        <w:t xml:space="preserve">- </w:t>
      </w:r>
      <w:hyperlink r:id="rId38">
        <w:r>
          <w:rPr>
            <w:rStyle w:val="Hyperlink"/>
            <w:rFonts w:cs="Century" w:ascii="Century" w:hAnsi="Century"/>
            <w:spacing w:val="10"/>
            <w:szCs w:val="28"/>
          </w:rPr>
          <w:t>40</w:t>
        </w:r>
        <w:r>
          <w:rPr>
            <w:rStyle w:val="Hyperlink"/>
            <w:rFonts w:ascii="Century" w:hAnsi="Century" w:cs="Century"/>
            <w:spacing w:val="10"/>
            <w:szCs w:val="28"/>
            <w:rtl w:val="true"/>
          </w:rPr>
          <w:t>ז</w:t>
        </w:r>
      </w:hyperlink>
      <w:r>
        <w:rPr>
          <w:rFonts w:ascii="Century" w:hAnsi="Century" w:cs="Century"/>
          <w:spacing w:val="10"/>
          <w:szCs w:val="28"/>
          <w:rtl w:val="true"/>
        </w:rPr>
        <w:t xml:space="preserve"> ל</w:t>
      </w:r>
      <w:hyperlink r:id="rId39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Century"/>
          <w:spacing w:val="10"/>
          <w:szCs w:val="28"/>
          <w:rtl w:val="true"/>
        </w:rPr>
        <w:t>יוער כי הצורך בהרתעה אישית אינו זניח בנסיבות המקרה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שכן מתסקיר שירות המבחן עולה כי השהות מאחורי סורג ובריח אמנם מהווה גורם מרתיע עבור הנאשם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אולם לצד זאת הנאשם מתקשה לבחון את התנהלותו לעומק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כפי שצוין לעיל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לפי הערכת שירות המבחן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רמת הסיכון להתנהגות עוברת חוק בעתיד מצדו של הנאשם היא </w:t>
      </w:r>
      <w:r>
        <w:rPr>
          <w:rFonts w:ascii="Century" w:hAnsi="Century" w:cs="Century"/>
          <w:spacing w:val="10"/>
          <w:szCs w:val="28"/>
          <w:u w:val="single"/>
          <w:rtl w:val="true"/>
        </w:rPr>
        <w:t>גבוהה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</w:rPr>
        <w:t>16</w:t>
      </w:r>
      <w:r>
        <w:rPr>
          <w:rFonts w:cs="Century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Century"/>
          <w:spacing w:val="10"/>
          <w:szCs w:val="28"/>
          <w:rtl w:val="true"/>
        </w:rPr>
        <w:t>בטרם אגזור את עונשו של הנאשם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אתייחס לגזרי דין של מעורבים אחרים בפרשה</w:t>
      </w:r>
      <w:r>
        <w:rPr>
          <w:rFonts w:cs="Century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eastAsia="Century" w:cs="Century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Cs w:val="28"/>
          <w:rtl w:val="true"/>
        </w:rPr>
        <w:t xml:space="preserve">(-) </w:t>
        <w:tab/>
      </w:r>
      <w:r>
        <w:rPr>
          <w:rFonts w:ascii="Century" w:hAnsi="Century" w:cs="Century"/>
          <w:spacing w:val="10"/>
          <w:szCs w:val="28"/>
          <w:rtl w:val="true"/>
        </w:rPr>
        <w:t>איברהים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אחיו של הנאשם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הורשע לפי הודאתו בבית משפט זה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כב</w:t>
      </w:r>
      <w:r>
        <w:rPr>
          <w:rFonts w:cs="Century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Century"/>
          <w:spacing w:val="10"/>
          <w:szCs w:val="28"/>
          <w:rtl w:val="true"/>
        </w:rPr>
        <w:t>השופטת לומפ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>בשלוש עבירות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Century"/>
          <w:spacing w:val="10"/>
          <w:szCs w:val="28"/>
          <w:rtl w:val="true"/>
        </w:rPr>
        <w:t>עבירה של רכישת 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בגין חלקו באישום הראשון בהליך שבכותרת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Century"/>
          <w:spacing w:val="10"/>
          <w:szCs w:val="28"/>
          <w:rtl w:val="true"/>
        </w:rPr>
        <w:t>עבירה של סחר בנשק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בגין חלקו באישום השלישי בהליך שבכותרת</w:t>
      </w:r>
      <w:r>
        <w:rPr>
          <w:rFonts w:cs="Century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Century"/>
          <w:spacing w:val="10"/>
          <w:szCs w:val="28"/>
          <w:rtl w:val="true"/>
        </w:rPr>
        <w:t>וכן עבירה של רכישת חלקי נשק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בעקבות כך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כב</w:t>
      </w:r>
      <w:r>
        <w:rPr>
          <w:rFonts w:cs="Century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Century"/>
          <w:spacing w:val="10"/>
          <w:szCs w:val="28"/>
          <w:rtl w:val="true"/>
        </w:rPr>
        <w:t xml:space="preserve">השופטת לומפ השיתה על איברהים </w:t>
      </w:r>
      <w:r>
        <w:rPr>
          <w:rFonts w:cs="Century" w:ascii="Century" w:hAnsi="Century"/>
          <w:spacing w:val="10"/>
          <w:szCs w:val="28"/>
        </w:rPr>
        <w:t>32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חודשי מאסר בפועל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ראו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hyperlink r:id="rId40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י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ם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52077-12-20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מדינת ישראל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קואסמה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cs="Century" w:ascii="Century" w:hAnsi="Century"/>
          <w:spacing w:val="10"/>
          <w:szCs w:val="28"/>
        </w:rPr>
        <w:t>10.11.2021</w:t>
      </w:r>
      <w:r>
        <w:rPr>
          <w:rFonts w:cs="Century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Century"/>
          <w:spacing w:val="10"/>
          <w:szCs w:val="28"/>
          <w:rtl w:val="true"/>
        </w:rPr>
        <w:t>המדינה ערערה על קולת העונש לבית המשפט העליון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הערעור התקבל</w:t>
      </w:r>
      <w:r>
        <w:rPr>
          <w:rFonts w:cs="Century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Century"/>
          <w:spacing w:val="10"/>
          <w:szCs w:val="28"/>
          <w:rtl w:val="true"/>
        </w:rPr>
        <w:t>ועונשו של איברהים הוחמר ל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cs="Century" w:ascii="Century" w:hAnsi="Century"/>
          <w:spacing w:val="10"/>
          <w:szCs w:val="28"/>
        </w:rPr>
        <w:t>42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חודשי מאסר בפועל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תוך שצוין כי אין זו דרכה של ערכאת הערעור למצות את הדין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ראו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hyperlink r:id="rId41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8869/21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מדינת ישראל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אבראהים קואסמה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cs="Century" w:ascii="Century" w:hAnsi="Century"/>
          <w:spacing w:val="10"/>
          <w:szCs w:val="28"/>
        </w:rPr>
        <w:t>13.3.2022</w:t>
      </w:r>
      <w:r>
        <w:rPr>
          <w:rFonts w:cs="Century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Century"/>
          <w:spacing w:val="10"/>
          <w:szCs w:val="28"/>
          <w:rtl w:val="true"/>
        </w:rPr>
        <w:t>לטענת הסנגור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עונשו של הנאשם שלפניי צריך להיות דומה לזה של אחיו איברהים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אין בידי לקבל טענה זו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u w:val="single"/>
          <w:rtl w:val="true"/>
        </w:rPr>
        <w:t>ראשית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איברהים הורשע בשלושה אישומים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ואילו הנאשם הורשע בשבעה אישומים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Miriam" w:hAnsi="Miriam" w:cs="Miriam"/>
          <w:spacing w:val="10"/>
          <w:u w:val="single"/>
          <w:rtl w:val="true"/>
        </w:rPr>
        <w:t>שנית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באישומים הראשון עד השלישי בהם הנאשם פעל בצוותא עם איברהים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חלקו של הנאשם היה בולט ודומיננטי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הגם שנפסק כי איברהים היווה שותף פעיל בביצוע העבירות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ראו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hyperlink r:id="rId42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8869/21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הנ</w:t>
      </w:r>
      <w:r>
        <w:rPr>
          <w:rFonts w:cs="Century" w:ascii="Century" w:hAnsi="Century"/>
          <w:spacing w:val="10"/>
          <w:szCs w:val="28"/>
          <w:rtl w:val="true"/>
        </w:rPr>
        <w:t>"</w:t>
      </w:r>
      <w:r>
        <w:rPr>
          <w:rFonts w:ascii="Century" w:hAnsi="Century" w:cs="Century"/>
          <w:spacing w:val="10"/>
          <w:szCs w:val="28"/>
          <w:rtl w:val="true"/>
        </w:rPr>
        <w:t>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פס</w:t>
      </w:r>
      <w:r>
        <w:rPr>
          <w:rFonts w:cs="Century" w:ascii="Century" w:hAnsi="Century"/>
          <w:spacing w:val="10"/>
          <w:szCs w:val="28"/>
          <w:rtl w:val="true"/>
        </w:rPr>
        <w:t xml:space="preserve">' </w:t>
      </w:r>
      <w:r>
        <w:rPr>
          <w:rFonts w:cs="Century" w:ascii="Century" w:hAnsi="Century"/>
          <w:spacing w:val="10"/>
          <w:szCs w:val="28"/>
        </w:rPr>
        <w:t>13</w:t>
      </w:r>
      <w:r>
        <w:rPr>
          <w:rFonts w:cs="Century" w:ascii="Century" w:hAnsi="Century"/>
          <w:spacing w:val="10"/>
          <w:szCs w:val="28"/>
          <w:rtl w:val="true"/>
        </w:rPr>
        <w:t>).</w:t>
      </w:r>
      <w:r>
        <w:rPr>
          <w:rFonts w:cs="Miriam" w:ascii="Miriam" w:hAnsi="Miriam"/>
          <w:spacing w:val="10"/>
          <w:rtl w:val="true"/>
        </w:rPr>
        <w:t xml:space="preserve"> </w:t>
      </w:r>
      <w:r>
        <w:rPr>
          <w:rFonts w:ascii="Miriam" w:hAnsi="Miriam" w:cs="Miriam"/>
          <w:spacing w:val="10"/>
          <w:u w:val="single"/>
          <w:rtl w:val="true"/>
        </w:rPr>
        <w:t>שלישית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בגין ארבעת האישומים בהם הנאשם פעל ללא איברהים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הוא הורשע בעבירות חמורות של סחר בנשק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אישום רביעי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 xml:space="preserve">ניסיון לסחר בנשק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אישום שישי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 xml:space="preserve">ושלוש עבירות של קשירת קשר לסחר או רכישה של נשק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אישומים חמישי עד שביעי</w:t>
      </w:r>
      <w:r>
        <w:rPr>
          <w:rFonts w:cs="Century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Century"/>
          <w:spacing w:val="10"/>
          <w:szCs w:val="28"/>
          <w:rtl w:val="true"/>
        </w:rPr>
        <w:t>בהתחשב בכל אלה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עונשו של הנאשם שלפניי ראוי שיהיה חמור באורח מהותי ביחס לעונש שהושת על איברהים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 xml:space="preserve">בהתייחס לטענת הסנגור בהשלמת הטיעון בכתב מיום </w:t>
      </w:r>
      <w:r>
        <w:rPr>
          <w:rFonts w:cs="Century" w:ascii="Century" w:hAnsi="Century"/>
          <w:spacing w:val="10"/>
          <w:szCs w:val="28"/>
        </w:rPr>
        <w:t>14.3.2022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אציין כי לא נעלם מעיניי כי לגבי איברהים לא ניתנה המלצה טיפולית כלשהיא על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>ידי שירות המבחן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בעוד שלגבי הנאשם שלפניי שירות המבחן המליץ על טיפול בין כתלי בית הכלא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עם זאת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אינני סבורה כי ניתן לראות בהבדל זה את חזות הכל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Cs w:val="28"/>
          <w:rtl w:val="true"/>
        </w:rPr>
        <w:t xml:space="preserve">(-) </w:t>
        <w:tab/>
      </w:r>
      <w:r>
        <w:rPr>
          <w:rFonts w:ascii="Century" w:hAnsi="Century" w:cs="Century"/>
          <w:spacing w:val="10"/>
          <w:szCs w:val="28"/>
          <w:rtl w:val="true"/>
        </w:rPr>
        <w:t>ג</w:t>
      </w:r>
      <w:r>
        <w:rPr>
          <w:rFonts w:cs="Century" w:ascii="Century" w:hAnsi="Century"/>
          <w:spacing w:val="10"/>
          <w:szCs w:val="28"/>
          <w:rtl w:val="true"/>
        </w:rPr>
        <w:t>'</w:t>
      </w:r>
      <w:r>
        <w:rPr>
          <w:rFonts w:ascii="Century" w:hAnsi="Century" w:cs="Century"/>
          <w:spacing w:val="10"/>
          <w:szCs w:val="28"/>
          <w:rtl w:val="true"/>
        </w:rPr>
        <w:t>מיל יוסף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המכונה ענכוש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מוזכר באישום השישי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הוא הורשע בבית משפט השלום בירושלים בעבירה של סיוע לניסיון לרכישת תחמושת לנשק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נגזרו עליו במסגרת הסדר טיעון סגור לעונש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cs="Century" w:ascii="Century" w:hAnsi="Century"/>
          <w:spacing w:val="10"/>
          <w:szCs w:val="28"/>
        </w:rPr>
        <w:t>12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חודשי מאסר בפועל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מתוכם </w:t>
      </w:r>
      <w:r>
        <w:rPr>
          <w:rFonts w:cs="Century" w:ascii="Century" w:hAnsi="Century"/>
          <w:spacing w:val="10"/>
          <w:szCs w:val="28"/>
        </w:rPr>
        <w:t>7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חודשים במצטבר לעונש מאסר בפועל אותו הוא מרצה בתיק אחר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ראו</w:t>
      </w:r>
      <w:r>
        <w:rPr>
          <w:rFonts w:cs="Century" w:ascii="Century" w:hAnsi="Century"/>
          <w:spacing w:val="10"/>
          <w:szCs w:val="28"/>
          <w:rtl w:val="true"/>
        </w:rPr>
        <w:t xml:space="preserve">: </w:t>
      </w:r>
      <w:hyperlink r:id="rId43"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י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spacing w:val="10"/>
            <w:szCs w:val="28"/>
            <w:u w:val="single"/>
            <w:rtl w:val="true"/>
          </w:rPr>
          <w:t>ם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spacing w:val="10"/>
            <w:szCs w:val="28"/>
            <w:u w:val="single"/>
          </w:rPr>
          <w:t>45418-12-20</w:t>
        </w:r>
      </w:hyperlink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מדינת ישראל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 xml:space="preserve">יוסף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cs="Century" w:ascii="Century" w:hAnsi="Century"/>
          <w:spacing w:val="10"/>
          <w:szCs w:val="28"/>
        </w:rPr>
        <w:t>30.9.2021</w:t>
      </w:r>
      <w:r>
        <w:rPr>
          <w:rFonts w:cs="Century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Century"/>
          <w:spacing w:val="10"/>
          <w:szCs w:val="28"/>
          <w:rtl w:val="true"/>
        </w:rPr>
        <w:t>ודוק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ישנו קושי מוּבנה ללמוד מעונשו של ענכוש לענייננו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כך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בשים לב לנגזרת העבירה בה ענכוש הורשע </w:t>
      </w:r>
      <w:r>
        <w:rPr>
          <w:rFonts w:cs="Century" w:ascii="Century" w:hAnsi="Century"/>
          <w:spacing w:val="10"/>
          <w:szCs w:val="28"/>
          <w:rtl w:val="true"/>
        </w:rPr>
        <w:t>(</w:t>
      </w:r>
      <w:r>
        <w:rPr>
          <w:rFonts w:ascii="Century" w:hAnsi="Century" w:cs="Century"/>
          <w:spacing w:val="10"/>
          <w:szCs w:val="28"/>
          <w:rtl w:val="true"/>
        </w:rPr>
        <w:t>סיוע לניסיון</w:t>
      </w:r>
      <w:r>
        <w:rPr>
          <w:rFonts w:cs="Century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Century"/>
          <w:spacing w:val="10"/>
          <w:szCs w:val="28"/>
          <w:rtl w:val="true"/>
        </w:rPr>
        <w:t>וכן בשים לב לעובדה שענכוש הורשע בעבירה בודדת בעוד הנאשם שלפניי הורשע בריבוי עבירות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  <w:t xml:space="preserve">(-) </w:t>
        <w:tab/>
      </w:r>
      <w:r>
        <w:rPr>
          <w:rFonts w:ascii="Century" w:hAnsi="Century" w:cs="Century"/>
          <w:spacing w:val="10"/>
          <w:szCs w:val="28"/>
          <w:rtl w:val="true"/>
        </w:rPr>
        <w:t>אחמד עמרו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המוזכר באישומים החמישי עד השביעי בהליך שבכותרת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עומד לדין בבית משפט השלום בירושלים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>בעת כתיבת גזר דין זה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משפטו של אחמד עודנו תלוי ועומד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ודינו טרם הוכרע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</w:rPr>
        <w:t>17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Century"/>
          <w:spacing w:val="10"/>
          <w:szCs w:val="28"/>
          <w:rtl w:val="true"/>
        </w:rPr>
        <w:t>באיזון בין השיקולים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אני רואה להעמיד את עונש המאסר בפועל שייגזר על הנאשם שלפניי בחלק התחתון של המתחם שנקבע אף שלא בתחתיתו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ולגזור עליו </w:t>
      </w:r>
      <w:r>
        <w:rPr>
          <w:rFonts w:cs="Century" w:ascii="Century" w:hAnsi="Century"/>
          <w:spacing w:val="10"/>
          <w:szCs w:val="28"/>
        </w:rPr>
        <w:t>6.5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שנות מאסר בפועל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 xml:space="preserve">מאסר מותנה הצופה פני עתיד וקנס כספי בסך </w:t>
      </w:r>
      <w:r>
        <w:rPr>
          <w:rFonts w:cs="Century" w:ascii="Century" w:hAnsi="Century"/>
          <w:spacing w:val="10"/>
          <w:szCs w:val="28"/>
        </w:rPr>
        <w:t>25,000</w:t>
      </w:r>
      <w:r>
        <w:rPr>
          <w:rFonts w:cs="Century" w:ascii="Century" w:hAnsi="Century"/>
          <w:spacing w:val="10"/>
          <w:szCs w:val="28"/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b/>
          <w:bCs/>
          <w:spacing w:val="10"/>
          <w:szCs w:val="28"/>
          <w:u w:val="single"/>
        </w:rPr>
      </w:pPr>
      <w:r>
        <w:rPr>
          <w:rFonts w:ascii="Century" w:hAnsi="Century" w:cs="Century"/>
          <w:b/>
          <w:b/>
          <w:bCs/>
          <w:spacing w:val="10"/>
          <w:szCs w:val="28"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</w:rPr>
        <w:t>18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Century"/>
          <w:spacing w:val="10"/>
          <w:szCs w:val="28"/>
          <w:rtl w:val="true"/>
        </w:rPr>
        <w:t>נוכח מכלול הטעמים האמורים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אני גוזרת על הנאשם כדלקמן</w:t>
      </w:r>
      <w:r>
        <w:rPr>
          <w:rFonts w:cs="Century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ascii="Century" w:hAnsi="Century" w:cs="Century"/>
          <w:spacing w:val="10"/>
          <w:szCs w:val="28"/>
          <w:rtl w:val="true"/>
        </w:rPr>
        <w:t>א</w:t>
      </w:r>
      <w:r>
        <w:rPr>
          <w:rFonts w:cs="Century" w:ascii="Century" w:hAnsi="Century"/>
          <w:spacing w:val="10"/>
          <w:szCs w:val="28"/>
          <w:rtl w:val="true"/>
        </w:rPr>
        <w:t>.</w:t>
        <w:tab/>
      </w:r>
      <w:r>
        <w:rPr>
          <w:rFonts w:cs="Century" w:ascii="Century" w:hAnsi="Century"/>
          <w:spacing w:val="10"/>
          <w:szCs w:val="28"/>
        </w:rPr>
        <w:t>6.5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שנות מאסר בפועל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החל מיום מעצרו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ascii="Century" w:hAnsi="Century" w:cs="Century"/>
          <w:spacing w:val="10"/>
          <w:szCs w:val="28"/>
          <w:rtl w:val="true"/>
        </w:rPr>
        <w:t>ב</w:t>
      </w:r>
      <w:r>
        <w:rPr>
          <w:rFonts w:cs="Century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Century"/>
          <w:spacing w:val="10"/>
          <w:szCs w:val="28"/>
          <w:rtl w:val="true"/>
        </w:rPr>
        <w:t>מאסר על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 xml:space="preserve">תנאי של </w:t>
      </w:r>
      <w:r>
        <w:rPr>
          <w:rFonts w:cs="Century" w:ascii="Century" w:hAnsi="Century"/>
          <w:spacing w:val="10"/>
          <w:szCs w:val="28"/>
        </w:rPr>
        <w:t>12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חודשים למשך </w:t>
      </w:r>
      <w:r>
        <w:rPr>
          <w:rFonts w:cs="Century" w:ascii="Century" w:hAnsi="Century"/>
          <w:spacing w:val="10"/>
          <w:szCs w:val="28"/>
        </w:rPr>
        <w:t>3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שנים מיום השחרור ממאסר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לא לעבור עבירה בנשק מסוג פשע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ascii="Century" w:hAnsi="Century" w:cs="Century"/>
          <w:spacing w:val="10"/>
          <w:szCs w:val="28"/>
          <w:rtl w:val="true"/>
        </w:rPr>
        <w:t>ג</w:t>
      </w:r>
      <w:r>
        <w:rPr>
          <w:rFonts w:cs="Century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Century"/>
          <w:spacing w:val="10"/>
          <w:szCs w:val="28"/>
          <w:rtl w:val="true"/>
        </w:rPr>
        <w:t>מאסר על</w:t>
      </w:r>
      <w:r>
        <w:rPr>
          <w:rFonts w:cs="Century" w:ascii="Century" w:hAnsi="Century"/>
          <w:spacing w:val="10"/>
          <w:szCs w:val="28"/>
          <w:rtl w:val="true"/>
        </w:rPr>
        <w:t>-</w:t>
      </w:r>
      <w:r>
        <w:rPr>
          <w:rFonts w:ascii="Century" w:hAnsi="Century" w:cs="Century"/>
          <w:spacing w:val="10"/>
          <w:szCs w:val="28"/>
          <w:rtl w:val="true"/>
        </w:rPr>
        <w:t xml:space="preserve">תנאי של </w:t>
      </w:r>
      <w:r>
        <w:rPr>
          <w:rFonts w:cs="Century" w:ascii="Century" w:hAnsi="Century"/>
          <w:spacing w:val="10"/>
          <w:szCs w:val="28"/>
        </w:rPr>
        <w:t>6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חודשים למשך </w:t>
      </w:r>
      <w:r>
        <w:rPr>
          <w:rFonts w:cs="Century" w:ascii="Century" w:hAnsi="Century"/>
          <w:spacing w:val="10"/>
          <w:szCs w:val="28"/>
        </w:rPr>
        <w:t>3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שנים מיום השחרור ממאסר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לא לעבור עבירה בנשק מסוג עוון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ascii="Century" w:hAnsi="Century" w:cs="Century"/>
          <w:spacing w:val="10"/>
          <w:szCs w:val="28"/>
          <w:rtl w:val="true"/>
        </w:rPr>
        <w:t>ד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Century"/>
          <w:spacing w:val="10"/>
          <w:szCs w:val="28"/>
          <w:rtl w:val="true"/>
        </w:rPr>
        <w:t xml:space="preserve">קנס בסך </w:t>
      </w:r>
      <w:r>
        <w:rPr>
          <w:rFonts w:cs="Century" w:ascii="Century" w:hAnsi="Century"/>
          <w:spacing w:val="10"/>
          <w:szCs w:val="28"/>
        </w:rPr>
        <w:t>25,000</w:t>
      </w:r>
      <w:r>
        <w:rPr>
          <w:rFonts w:cs="Century" w:ascii="Century" w:hAnsi="Century"/>
          <w:spacing w:val="10"/>
          <w:szCs w:val="28"/>
          <w:rtl w:val="true"/>
        </w:rPr>
        <w:t xml:space="preserve"> ₪ </w:t>
      </w:r>
      <w:r>
        <w:rPr>
          <w:rFonts w:ascii="Century" w:hAnsi="Century" w:cs="Century"/>
          <w:spacing w:val="10"/>
          <w:szCs w:val="28"/>
          <w:rtl w:val="true"/>
        </w:rPr>
        <w:t xml:space="preserve">או </w:t>
      </w:r>
      <w:r>
        <w:rPr>
          <w:rFonts w:cs="Century" w:ascii="Century" w:hAnsi="Century"/>
          <w:spacing w:val="10"/>
          <w:szCs w:val="28"/>
        </w:rPr>
        <w:t>5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חודשי מאסר תמורתו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Cs w:val="28"/>
          <w:rtl w:val="true"/>
        </w:rPr>
        <w:t xml:space="preserve">הקנס ישולם עד יום </w:t>
      </w:r>
      <w:r>
        <w:rPr>
          <w:rFonts w:cs="Century" w:ascii="Century" w:hAnsi="Century"/>
          <w:spacing w:val="10"/>
          <w:szCs w:val="28"/>
        </w:rPr>
        <w:t>1.2.2023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Cs w:val="28"/>
          <w:rtl w:val="true"/>
        </w:rPr>
        <w:tab/>
      </w:r>
      <w:r>
        <w:rPr>
          <w:rFonts w:ascii="Century" w:hAnsi="Century" w:cs="Century"/>
          <w:b/>
          <w:b/>
          <w:bCs/>
          <w:spacing w:val="10"/>
          <w:szCs w:val="28"/>
          <w:u w:val="single"/>
          <w:rtl w:val="true"/>
        </w:rPr>
        <w:t>המזכירות</w:t>
      </w:r>
      <w:r>
        <w:rPr>
          <w:rFonts w:ascii="Century" w:hAnsi="Century" w:cs="Century"/>
          <w:spacing w:val="10"/>
          <w:szCs w:val="28"/>
          <w:rtl w:val="true"/>
        </w:rPr>
        <w:t xml:space="preserve"> תשלח העתק גזר הדין לשירות המבחן למבוגרים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color w:val="FFFFFF"/>
          <w:spacing w:val="10"/>
          <w:sz w:val="2"/>
          <w:szCs w:val="2"/>
        </w:rPr>
      </w:pPr>
      <w:r>
        <w:rPr>
          <w:rFonts w:cs="Century" w:ascii="Century" w:hAnsi="Century"/>
          <w:color w:val="FFFFFF"/>
          <w:spacing w:val="10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color w:val="FFFFFF"/>
          <w:spacing w:val="10"/>
          <w:sz w:val="2"/>
          <w:szCs w:val="2"/>
        </w:rPr>
        <w:t>54678313</w:t>
      </w:r>
      <w:r>
        <w:rPr>
          <w:rFonts w:cs="Century" w:ascii="Century" w:hAnsi="Century"/>
          <w:spacing w:val="10"/>
          <w:szCs w:val="28"/>
          <w:rtl w:val="true"/>
        </w:rPr>
        <w:tab/>
      </w:r>
      <w:r>
        <w:rPr>
          <w:rFonts w:ascii="Century" w:hAnsi="Century" w:cs="Century"/>
          <w:spacing w:val="10"/>
          <w:szCs w:val="28"/>
          <w:rtl w:val="true"/>
        </w:rPr>
        <w:t>זכות ערעור לבית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 xml:space="preserve">המשפט העליון תוך </w:t>
      </w:r>
      <w:r>
        <w:rPr>
          <w:rFonts w:cs="Century" w:ascii="Century" w:hAnsi="Century"/>
          <w:spacing w:val="10"/>
          <w:szCs w:val="28"/>
        </w:rPr>
        <w:t>45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ימים מהיום</w:t>
      </w:r>
      <w:r>
        <w:rPr>
          <w:rFonts w:cs="Century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pacing w:val="10"/>
          <w:sz w:val="26"/>
          <w:szCs w:val="26"/>
        </w:rPr>
      </w:pPr>
      <w:r>
        <w:rPr>
          <w:rFonts w:cs="Arial" w:ascii="Arial" w:hAnsi="Arial"/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Cs w:val="28"/>
        </w:rPr>
      </w:pPr>
      <w:bookmarkStart w:id="10" w:name="Nitan"/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ניתן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היום</w:t>
      </w:r>
      <w:r>
        <w:rPr>
          <w:rFonts w:cs="Century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Century"/>
          <w:spacing w:val="10"/>
          <w:szCs w:val="28"/>
          <w:rtl w:val="true"/>
        </w:rPr>
        <w:t>כ</w:t>
      </w:r>
      <w:r>
        <w:rPr>
          <w:rFonts w:cs="Century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Century"/>
          <w:spacing w:val="10"/>
          <w:szCs w:val="28"/>
          <w:rtl w:val="true"/>
        </w:rPr>
        <w:t>אדר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ב</w:t>
      </w:r>
      <w:r>
        <w:rPr>
          <w:rFonts w:cs="Century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Century"/>
          <w:spacing w:val="10"/>
          <w:szCs w:val="28"/>
          <w:rtl w:val="true"/>
        </w:rPr>
        <w:t>תשפ</w:t>
      </w:r>
      <w:r>
        <w:rPr>
          <w:rFonts w:cs="Century" w:ascii="Century" w:hAnsi="Century"/>
          <w:spacing w:val="10"/>
          <w:szCs w:val="28"/>
          <w:rtl w:val="true"/>
        </w:rPr>
        <w:t>"</w:t>
      </w:r>
      <w:r>
        <w:rPr>
          <w:rFonts w:ascii="Century" w:hAnsi="Century" w:cs="Century"/>
          <w:spacing w:val="10"/>
          <w:szCs w:val="28"/>
          <w:rtl w:val="true"/>
        </w:rPr>
        <w:t>ב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cs="Century" w:ascii="Century" w:hAnsi="Century"/>
          <w:spacing w:val="10"/>
          <w:szCs w:val="28"/>
        </w:rPr>
        <w:t>23</w:t>
      </w:r>
      <w:r>
        <w:rPr>
          <w:rFonts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מרץ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Cs w:val="28"/>
        </w:rPr>
        <w:t>2022</w:t>
      </w:r>
      <w:r>
        <w:rPr>
          <w:rFonts w:cs="Century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Cs w:val="28"/>
          <w:rtl w:val="true"/>
        </w:rPr>
        <w:t>בנוכחות</w:t>
      </w:r>
      <w:r>
        <w:rPr>
          <w:rFonts w:ascii="Century" w:hAnsi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Century"/>
          <w:spacing w:val="10"/>
          <w:szCs w:val="28"/>
          <w:rtl w:val="true"/>
        </w:rPr>
        <w:t>הצדדים</w:t>
      </w:r>
      <w:r>
        <w:rPr>
          <w:rFonts w:cs="Century" w:ascii="Century" w:hAnsi="Century"/>
          <w:spacing w:val="10"/>
          <w:szCs w:val="28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36505-12-20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היתם קואסמה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86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17954235" TargetMode="External"/><Relationship Id="rId23" Type="http://schemas.openxmlformats.org/officeDocument/2006/relationships/hyperlink" Target="http://www.nevo.co.il/law/74903/186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0301/40c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347604" TargetMode="External"/><Relationship Id="rId28" Type="http://schemas.openxmlformats.org/officeDocument/2006/relationships/hyperlink" Target="http://www.nevo.co.il/case/23750625" TargetMode="External"/><Relationship Id="rId29" Type="http://schemas.openxmlformats.org/officeDocument/2006/relationships/hyperlink" Target="http://www.nevo.co.il/case/23750625" TargetMode="External"/><Relationship Id="rId30" Type="http://schemas.openxmlformats.org/officeDocument/2006/relationships/hyperlink" Target="http://www.nevo.co.il/case/26510968" TargetMode="External"/><Relationship Id="rId31" Type="http://schemas.openxmlformats.org/officeDocument/2006/relationships/hyperlink" Target="http://www.nevo.co.il/case/26510968" TargetMode="External"/><Relationship Id="rId32" Type="http://schemas.openxmlformats.org/officeDocument/2006/relationships/hyperlink" Target="http://www.nevo.co.il/case/27503154" TargetMode="External"/><Relationship Id="rId33" Type="http://schemas.openxmlformats.org/officeDocument/2006/relationships/hyperlink" Target="http://www.nevo.co.il/case/5596806" TargetMode="External"/><Relationship Id="rId34" Type="http://schemas.openxmlformats.org/officeDocument/2006/relationships/hyperlink" Target="http://www.nevo.co.il/case/23750625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f" TargetMode="External"/><Relationship Id="rId38" Type="http://schemas.openxmlformats.org/officeDocument/2006/relationships/hyperlink" Target="http://www.nevo.co.il/law/70301/40g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7261919" TargetMode="External"/><Relationship Id="rId41" Type="http://schemas.openxmlformats.org/officeDocument/2006/relationships/hyperlink" Target="http://www.nevo.co.il/case/28200855" TargetMode="External"/><Relationship Id="rId42" Type="http://schemas.openxmlformats.org/officeDocument/2006/relationships/hyperlink" Target="http://www.nevo.co.il/case/28200855" TargetMode="External"/><Relationship Id="rId43" Type="http://schemas.openxmlformats.org/officeDocument/2006/relationships/hyperlink" Target="http://www.nevo.co.il/case/27254323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2023-05-08T09:02:00Z</dcterms:created>
  <dc:creator> </dc:creator>
  <dc:description/>
  <cp:keywords/>
  <dc:language>en-IL</dc:language>
  <cp:lastModifiedBy>h1</cp:lastModifiedBy>
  <dcterms:modified xsi:type="dcterms:W3CDTF">2023-05-08T09:02:00Z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היתם קואסמה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17954235;27347604;23750625:3;26510968:2;27503154;5596806;27261919;28200855:2;27254323</vt:lpwstr>
  </property>
  <property fmtid="{D5CDD505-2E9C-101B-9397-08002B2CF9AE}" pid="9" name="CITY">
    <vt:lpwstr>י-ם</vt:lpwstr>
  </property>
  <property fmtid="{D5CDD505-2E9C-101B-9397-08002B2CF9AE}" pid="10" name="DATE">
    <vt:lpwstr>20220323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70301/144.b2:2;144.a;499.a.1;025;40jc.a;040c.a;40ja;040f;040g</vt:lpwstr>
  </property>
  <property fmtid="{D5CDD505-2E9C-101B-9397-08002B2CF9AE}" pid="15" name="LAWLISTTMP2">
    <vt:lpwstr>74903/186</vt:lpwstr>
  </property>
  <property fmtid="{D5CDD505-2E9C-101B-9397-08002B2CF9AE}" pid="16" name="LAWYER">
    <vt:lpwstr>הדס עמיר;וסים דראושה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36505</vt:lpwstr>
  </property>
  <property fmtid="{D5CDD505-2E9C-101B-9397-08002B2CF9AE}" pid="23" name="NEWPARTB">
    <vt:lpwstr>12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390020220323</vt:lpwstr>
  </property>
  <property fmtid="{D5CDD505-2E9C-101B-9397-08002B2CF9AE}" pid="35" name="TYPE_N_DATE">
    <vt:lpwstr>39020220323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