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36654-10-10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בונקר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b/>
                <w:bCs/>
                <w:sz w:val="26"/>
                <w:szCs w:val="26"/>
              </w:rPr>
              <w:t>2012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36662-10-10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 הישאם  אבו שחאדה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מאשימה  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נאשמים 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בצלאל בונקר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 xml:space="preserve"> </w:t>
      </w:r>
      <w:r>
        <w:rPr>
          <w:u w:val="none"/>
          <w:rtl w:val="true"/>
        </w:rPr>
        <w:t xml:space="preserve">בא כוח מאשימה 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u w:val="none"/>
          <w:rtl w:val="true"/>
        </w:rPr>
        <w:t xml:space="preserve"> אלמוג בן חמו 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בא כוח נאשם 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u w:val="none"/>
          <w:rtl w:val="true"/>
        </w:rPr>
        <w:t xml:space="preserve"> גדי ציון – סניגוריה ציבורית 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נאשם </w:t>
      </w:r>
      <w:r>
        <w:rPr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u w:val="none"/>
          <w:rtl w:val="true"/>
        </w:rPr>
        <w:t>בצלאל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u w:val="none"/>
          <w:rtl w:val="true"/>
        </w:rPr>
        <w:t xml:space="preserve">בונקר – בעצמו 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LastJudge"/>
      <w:bookmarkStart w:id="4" w:name="PsakDin"/>
      <w:bookmarkEnd w:id="3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הנאשם הורשע לאחר ניהול הוכחות בעבירה של איומים לפי סעיף </w:t>
      </w:r>
      <w:r>
        <w:rPr>
          <w:b/>
          <w:bCs/>
        </w:rPr>
        <w:t>192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b/>
          <w:b/>
          <w:bCs/>
          <w:rtl w:val="true"/>
        </w:rPr>
        <w:t xml:space="preserve"> 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ז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ואשר  פורטה באישום הראשון לכתב האישום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יובהר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 הנאשם זוכה מעבירה של תקיפת בת זוג שבאישום הראשון וכן בעבירה של תקיפת בת זוג הגורמת חבלה של ממש באישום השני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מחמת הספק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על פי עובדות האישום הראשון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בתאריך </w:t>
      </w:r>
      <w:r>
        <w:rPr>
          <w:b/>
          <w:bCs/>
        </w:rPr>
        <w:t>11.10.10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בביתם ברמלה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איים הנאשם על אשתו באומרו 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אני אהרוג אותך עכשיו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 xml:space="preserve">וכן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אשתי הראשונה הקדוש ברוך הוא לקח אותה אבל אותך לא הקדוש ברוך הוא יקח אני אהרוג אותך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 xml:space="preserve">ובנוסף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 אביא סכין ואגמור אותך עכשיו ואקבור אותך בתוך הבית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לנאשם אין עבר פלילי קודם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הצדדים הגיעו להסדר שכולל הסכמה למלוא רכיבי הענישה בתיק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בנסיבות הענין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ההסדר הוא סביר ובכוונתי לכבדו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הבסיס לקבלת ההסדר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 רצונה של המתלוננת להמשך חיים זוגיים עם הנאשם כפי שהדברים עלו במהלך שמיעת הראיות וכן העובדה שאין לנאשם עבר פלילי קודם</w:t>
      </w:r>
      <w:r>
        <w:rPr>
          <w:b/>
          <w:bCs/>
          <w:rtl w:val="true"/>
        </w:rPr>
        <w:t xml:space="preserve">. </w:t>
      </w:r>
      <w:bookmarkStart w:id="7" w:name="_GoBack"/>
      <w:bookmarkEnd w:id="7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לפיכך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הנני משית על הנאשם את העונשים הבאים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על תנאי והתנאי הוא שבמשך שנתיים מהיום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 יבצע עבירת אלימות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 xml:space="preserve">הנאשם ישלם קנס בסך של </w:t>
      </w:r>
      <w:r>
        <w:rPr>
          <w:b/>
          <w:bCs/>
        </w:rPr>
        <w:t>1,000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 xml:space="preserve">או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 מאסר תמורתו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הקנס ישולם לא יאוחר מיום </w:t>
      </w:r>
      <w:r>
        <w:rPr>
          <w:b/>
          <w:bCs/>
        </w:rPr>
        <w:t>15.1.13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ככל שקיימת הפקדה בתיק </w:t>
      </w:r>
      <w:hyperlink r:id="rId3">
        <w:r>
          <w:rPr>
            <w:rStyle w:val="Hyperlink"/>
            <w:b/>
            <w:b/>
            <w:bCs/>
            <w:color w:val="0000FF"/>
            <w:u w:val="single"/>
            <w:rtl w:val="true"/>
          </w:rPr>
          <w:t>מ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ת </w:t>
        </w:r>
        <w:r>
          <w:rPr>
            <w:rStyle w:val="Hyperlink"/>
            <w:b/>
            <w:bCs/>
            <w:color w:val="0000FF"/>
            <w:u w:val="single"/>
          </w:rPr>
          <w:t>36662-10-10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 יהיה לקזז את הקנס מההפקדה הכספית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ככל שקיימת יתרה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 תוחזר לנאשם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end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כסלו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12/12/2012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הישאם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אבו שחאדה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  <w:r>
        <w:rPr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רוית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 xml:space="preserve"> </w:t>
      </w:r>
      <w:r>
        <w:rPr>
          <w:rtl w:val="true"/>
        </w:rPr>
        <w:t>גל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36654-10-10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בצלאל בונקר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NEWPROC=&#1502;&#1514;&amp;NEWPARTA=36662&amp;NEWPARTB=10&amp;NEWPARTC=10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2012-12-17T08:36:00Z</dcterms:created>
  <dc:creator> </dc:creator>
  <dc:description/>
  <cp:keywords/>
  <dc:language>en-IL</dc:language>
  <cp:lastModifiedBy>hofit</cp:lastModifiedBy>
  <dcterms:modified xsi:type="dcterms:W3CDTF">2012-12-17T08:36:00Z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בצלאל בונקר</vt:lpwstr>
  </property>
  <property fmtid="{D5CDD505-2E9C-101B-9397-08002B2CF9AE}" pid="4" name="CITY">
    <vt:lpwstr>רמ'</vt:lpwstr>
  </property>
  <property fmtid="{D5CDD505-2E9C-101B-9397-08002B2CF9AE}" pid="5" name="DATE">
    <vt:lpwstr>20121212</vt:lpwstr>
  </property>
  <property fmtid="{D5CDD505-2E9C-101B-9397-08002B2CF9AE}" pid="6" name="JUDGE">
    <vt:lpwstr>הישאם אבו שחאדה</vt:lpwstr>
  </property>
  <property fmtid="{D5CDD505-2E9C-101B-9397-08002B2CF9AE}" pid="7" name="NEWPARTA">
    <vt:lpwstr>36654</vt:lpwstr>
  </property>
  <property fmtid="{D5CDD505-2E9C-101B-9397-08002B2CF9AE}" pid="8" name="NEWPARTB">
    <vt:lpwstr>10</vt:lpwstr>
  </property>
  <property fmtid="{D5CDD505-2E9C-101B-9397-08002B2CF9AE}" pid="9" name="NEWPARTC">
    <vt:lpwstr>10</vt:lpwstr>
  </property>
  <property fmtid="{D5CDD505-2E9C-101B-9397-08002B2CF9AE}" pid="10" name="NEWPROC">
    <vt:lpwstr>תפ</vt:lpwstr>
  </property>
  <property fmtid="{D5CDD505-2E9C-101B-9397-08002B2CF9AE}" pid="11" name="PSAKDIN">
    <vt:lpwstr>גזר-דין</vt:lpwstr>
  </property>
  <property fmtid="{D5CDD505-2E9C-101B-9397-08002B2CF9AE}" pid="12" name="TYPE">
    <vt:lpwstr>3</vt:lpwstr>
  </property>
  <property fmtid="{D5CDD505-2E9C-101B-9397-08002B2CF9AE}" pid="13" name="TYPE_ABS_DATE">
    <vt:lpwstr>380020121212</vt:lpwstr>
  </property>
  <property fmtid="{D5CDD505-2E9C-101B-9397-08002B2CF9AE}" pid="14" name="TYPE_N_DATE">
    <vt:lpwstr>38020121212</vt:lpwstr>
  </property>
  <property fmtid="{D5CDD505-2E9C-101B-9397-08002B2CF9AE}" pid="15" name="WORDNUMPAGES">
    <vt:lpwstr>2</vt:lpwstr>
  </property>
</Properties>
</file>