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36698-12-18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סלימאן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711"/>
        <w:gridCol w:w="239"/>
        <w:gridCol w:w="2555"/>
      </w:tblGrid>
      <w:tr>
        <w:trPr>
          <w:trHeight w:val="337" w:hRule="atLeast"/>
        </w:trPr>
        <w:tc>
          <w:tcPr>
            <w:tcW w:w="571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בפני כב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השופט אברהם אליקים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סגן נשיא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55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eastAsia="FrankRuehl" w:cs="FrankRuehl" w:ascii="FrankRuehl" w:hAnsi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eastAsia="FrankRuehl" w:cs="FrankRuehl" w:ascii="FrankRuehl" w:hAnsi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מוחמד שייח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סלימאן 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ז </w:t>
            </w:r>
            <w:r>
              <w:rPr>
                <w:rFonts w:cs="FrankRuehl" w:ascii="FrankRuehl" w:hAnsi="FrankRuehl"/>
                <w:b/>
                <w:bCs/>
                <w:sz w:val="28"/>
                <w:szCs w:val="28"/>
              </w:rPr>
              <w:t>xxxxxxxxx</w:t>
            </w:r>
          </w:p>
        </w:tc>
      </w:tr>
    </w:tbl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FrankRuehl" w:hAnsi="FrankRueh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  <w:u w:val="single"/>
              </w:rPr>
            </w:pPr>
            <w:r>
              <w:rPr>
                <w:rFonts w:cs="FrankRuehl" w:ascii="FrankRuehl" w:hAnsi="FrankRueh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 xml:space="preserve">מבוא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bookmarkStart w:id="8" w:name="ABSTRACT_START"/>
      <w:bookmarkEnd w:id="8"/>
      <w:r>
        <w:rPr>
          <w:rFonts w:ascii="FrankRuehl" w:hAnsi="FrankRuehl" w:cs="FrankRuehl"/>
          <w:sz w:val="28"/>
          <w:sz w:val="28"/>
          <w:szCs w:val="28"/>
          <w:rtl w:val="true"/>
        </w:rPr>
        <w:t>הנאשם הורשע 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 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בירות בנשק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החזקה</w:t>
      </w:r>
      <w:r>
        <w:rPr>
          <w:rFonts w:cs="FrankRuehl" w:ascii="FrankRuehl" w:hAnsi="FrankRuehl"/>
          <w:sz w:val="28"/>
          <w:szCs w:val="28"/>
          <w:rtl w:val="true"/>
        </w:rPr>
        <w:t xml:space="preserve">)-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רישה וס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יפה </w:t>
      </w:r>
      <w:r>
        <w:rPr>
          <w:rFonts w:ascii="Miriam" w:hAnsi="Miriam" w:cs="Miriam"/>
          <w:rtl w:val="true"/>
        </w:rPr>
        <w:t>ל</w:t>
      </w:r>
      <w:hyperlink r:id="rId9">
        <w:r>
          <w:rPr>
            <w:rStyle w:val="Hyperlink"/>
            <w:rFonts w:ascii="Miriam" w:hAnsi="Miriam" w:cs="Miriam"/>
            <w:color w:val="0000FF"/>
            <w:u w:val="single"/>
            <w:rtl w:val="true"/>
          </w:rPr>
          <w:t>חוק העונשין</w:t>
        </w:r>
      </w:hyperlink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התשל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ז</w:t>
      </w:r>
      <w:r>
        <w:rPr>
          <w:rFonts w:cs="Miriam" w:ascii="Miriam" w:hAnsi="Miriam"/>
          <w:rtl w:val="true"/>
        </w:rPr>
        <w:t>-</w:t>
      </w:r>
      <w:r>
        <w:rPr>
          <w:rFonts w:cs="Miriam" w:ascii="Miriam" w:hAnsi="Miriam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הודאתו בעובדות כתב אישום שתוקן במסגרת הסדר טיעון שלא כלל הסכמה לעונש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פי כתב האישום המתוקן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סומן א</w:t>
      </w:r>
      <w:r>
        <w:rPr>
          <w:rFonts w:cs="FrankRuehl" w:ascii="FrankRuehl" w:hAnsi="FrankRuehl"/>
          <w:sz w:val="28"/>
          <w:szCs w:val="28"/>
          <w:rtl w:val="true"/>
        </w:rPr>
        <w:t xml:space="preserve">),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בתאריך </w:t>
      </w:r>
      <w:r>
        <w:rPr>
          <w:rFonts w:cs="FrankRuehl" w:ascii="FrankRuehl" w:hAnsi="FrankRuehl"/>
          <w:sz w:val="28"/>
          <w:szCs w:val="28"/>
        </w:rPr>
        <w:t>6.12.2018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בשעה </w:t>
      </w:r>
      <w:r>
        <w:rPr>
          <w:rFonts w:cs="FrankRuehl" w:ascii="FrankRuehl" w:hAnsi="FrankRuehl"/>
          <w:sz w:val="28"/>
          <w:szCs w:val="28"/>
        </w:rPr>
        <w:t>10:30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נהג הנאשם ברכבו כשהוא מחזיק מתחת לבגדיו אקדח מסוג גלוק ובתוכו מחסנית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מחסנית נוספת הייתה על מושב הנוסע ליד הנהג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האקדח הוא כלי נשק שס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גל לירות והמחסניות הן אביזרים לכלי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firstLine="360" w:start="360"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rtl w:val="true"/>
        </w:rPr>
        <w:t>ראיות לעונש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ascii="FrankRuehl" w:hAnsi="FrankRuehl"/>
          <w:sz w:val="28"/>
          <w:sz w:val="28"/>
          <w:rtl w:val="true"/>
        </w:rPr>
        <w:t>לא הוגשו מטעם הצדדים ראיות לעונש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לנאשם אין רישום פלילי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cs="FrankRuehl" w:ascii="FrankRuehl" w:hAnsi="FrankRuehl"/>
          <w:sz w:val="28"/>
          <w:u w:val="single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rtl w:val="true"/>
        </w:rPr>
        <w:t>תסקירי שירות המבחן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בהתאם להסדר הטיעון הוסכם כי הנאשם יופנה לשירות המבחן לצורך הכנת תסקיר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לאחר פגישה עם הנאשם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בחינת המידע הנמצא בשירות המבחן מהליך המעצר ועיון במסמכים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נמנע שירות המבחן מכל המלצה בעניינו של הנאשם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קצינת המבחן התרשמה כי הנאשם מכחיש קיום  דפוסים עברייניים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הצהרותיו באשר לרצונו לקחת חלק בהליך טיפולי נובעות מתוך רצון להקלה בעונש ולא מתוך רצון והבנה פנימי לצורך בשינוי דפוסי התנהגותו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 xml:space="preserve">בניתוח נסיבות חייו היא התרשמה מיציבות ותפקוד תקין במסגרות חייו אך בתנאי לחץ הוא עלול </w:t>
      </w:r>
      <w:r>
        <w:rPr>
          <w:rFonts w:ascii="FrankRuehl" w:hAnsi="FrankRuehl"/>
          <w:sz w:val="28"/>
          <w:sz w:val="28"/>
          <w:rtl w:val="true"/>
        </w:rPr>
        <w:t xml:space="preserve">להערכתה </w:t>
      </w:r>
      <w:r>
        <w:rPr>
          <w:rFonts w:ascii="FrankRuehl" w:hAnsi="FrankRuehl"/>
          <w:sz w:val="28"/>
          <w:sz w:val="28"/>
          <w:rtl w:val="true"/>
        </w:rPr>
        <w:t>לפעול מתוך דחף רגעי מבלי לחשוב על השלכות של מעשיו ולכן לא נשלל סיכון להישנות עבירות דומות בעתיד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תמצית טענות הצדדים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ב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כ המאשימה בטיעוני</w:t>
      </w:r>
      <w:r>
        <w:rPr>
          <w:rFonts w:ascii="FrankRuehl" w:hAnsi="FrankRuehl"/>
          <w:sz w:val="28"/>
          <w:sz w:val="28"/>
          <w:rtl w:val="true"/>
        </w:rPr>
        <w:t xml:space="preserve">ה </w:t>
      </w:r>
      <w:r>
        <w:rPr>
          <w:rFonts w:ascii="FrankRuehl" w:hAnsi="FrankRuehl"/>
          <w:sz w:val="28"/>
          <w:sz w:val="28"/>
          <w:rtl w:val="true"/>
        </w:rPr>
        <w:t xml:space="preserve">בכתב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ט</w:t>
      </w:r>
      <w:r>
        <w:rPr>
          <w:rFonts w:cs="FrankRuehl" w:ascii="FrankRuehl" w:hAnsi="FrankRuehl"/>
          <w:sz w:val="28"/>
          <w:rtl w:val="true"/>
        </w:rPr>
        <w:t>/</w:t>
      </w:r>
      <w:r>
        <w:rPr>
          <w:rFonts w:cs="FrankRuehl" w:ascii="FrankRuehl" w:hAnsi="FrankRuehl"/>
          <w:sz w:val="28"/>
        </w:rPr>
        <w:t>1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ascii="FrankRuehl" w:hAnsi="FrankRuehl"/>
          <w:sz w:val="28"/>
          <w:sz w:val="28"/>
          <w:rtl w:val="true"/>
        </w:rPr>
        <w:t xml:space="preserve">ובעל פה ביקשה לגזור על הנאשם עונש מאסר בפועל שמשכו בין </w:t>
      </w:r>
      <w:r>
        <w:rPr>
          <w:rFonts w:cs="FrankRuehl" w:ascii="FrankRuehl" w:hAnsi="FrankRuehl"/>
          <w:sz w:val="28"/>
        </w:rPr>
        <w:t>12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חודשים ועד </w:t>
      </w:r>
      <w:r>
        <w:rPr>
          <w:rFonts w:cs="FrankRuehl" w:ascii="FrankRuehl" w:hAnsi="FrankRuehl"/>
          <w:sz w:val="28"/>
        </w:rPr>
        <w:t>36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חודשי מאסר בפועל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מאסר על תנאי ותשלום קנס משמעותי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 xml:space="preserve">בטיעוניה שמה דגש על חומרת העבירה והפנתה למדיניות הענישה בהתאם לפסקי דין שונים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רובם מתייחסים גם לעבירה של נשיאה והובלה של נשק שאינה העבירה בה הורשע הנאשם</w:t>
      </w:r>
      <w:r>
        <w:rPr>
          <w:rFonts w:cs="FrankRuehl" w:ascii="FrankRuehl" w:hAnsi="FrankRuehl"/>
          <w:sz w:val="28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</w:rPr>
      </w:pPr>
      <w:r>
        <w:rPr>
          <w:rFonts w:eastAsia="FrankRuehl"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הסנגור בטיעוניו בכתב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ס</w:t>
      </w:r>
      <w:r>
        <w:rPr>
          <w:rFonts w:cs="FrankRuehl" w:ascii="FrankRuehl" w:hAnsi="FrankRuehl"/>
          <w:sz w:val="28"/>
          <w:rtl w:val="true"/>
        </w:rPr>
        <w:t>/</w:t>
      </w:r>
      <w:r>
        <w:rPr>
          <w:rFonts w:cs="FrankRuehl" w:ascii="FrankRuehl" w:hAnsi="FrankRuehl"/>
          <w:sz w:val="28"/>
        </w:rPr>
        <w:t>1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ascii="FrankRuehl" w:hAnsi="FrankRuehl"/>
          <w:sz w:val="28"/>
          <w:sz w:val="28"/>
          <w:rtl w:val="true"/>
        </w:rPr>
        <w:t>ובע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 xml:space="preserve">פ ביקש לקבוע מתחם עונש הולם שנע בין </w:t>
      </w:r>
      <w:r>
        <w:rPr>
          <w:rFonts w:cs="FrankRuehl" w:ascii="FrankRuehl" w:hAnsi="FrankRuehl"/>
          <w:sz w:val="28"/>
        </w:rPr>
        <w:t>6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חודשי מאסר שיכול וירוצו בעבודות שירות לבין </w:t>
      </w:r>
      <w:r>
        <w:rPr>
          <w:rFonts w:cs="FrankRuehl" w:ascii="FrankRuehl" w:hAnsi="FrankRuehl"/>
          <w:sz w:val="28"/>
        </w:rPr>
        <w:t>12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חודשי מאסר בפועל וביקש להסתפק במקרה זה בעונש של מאסר שניתן לשאת בו בעבודות שירות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ל</w:t>
      </w:r>
      <w:r>
        <w:rPr>
          <w:rFonts w:ascii="FrankRuehl" w:hAnsi="FrankRuehl"/>
          <w:sz w:val="28"/>
          <w:sz w:val="28"/>
          <w:rtl w:val="true"/>
        </w:rPr>
        <w:t>טענתו במקרה זה הפגיעה בערך החברתי נמוכה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>בשעת ביצוע העבירה ה</w:t>
      </w:r>
      <w:r>
        <w:rPr>
          <w:rFonts w:ascii="FrankRuehl" w:hAnsi="FrankRuehl"/>
          <w:sz w:val="28"/>
          <w:sz w:val="28"/>
          <w:rtl w:val="true"/>
        </w:rPr>
        <w:t xml:space="preserve">נאשם  </w:t>
      </w:r>
      <w:r>
        <w:rPr>
          <w:rFonts w:ascii="FrankRuehl" w:hAnsi="FrankRuehl"/>
          <w:sz w:val="28"/>
          <w:sz w:val="28"/>
          <w:rtl w:val="true"/>
        </w:rPr>
        <w:t>נסע ברכב עם שני ילדי</w:t>
      </w:r>
      <w:r>
        <w:rPr>
          <w:rFonts w:ascii="FrankRuehl" w:hAnsi="FrankRuehl"/>
          <w:sz w:val="28"/>
          <w:sz w:val="28"/>
          <w:rtl w:val="true"/>
        </w:rPr>
        <w:t>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לא נגרם נזק לאדם או לרכוש ואין ראיה כי עתיד היה להיגרם נזק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לתמיכה בטענותיו הפנה לפסקי דין שונים רובם של בתי משפט מחוזי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וגזר דין אחד של בית משפט שלום</w:t>
      </w:r>
      <w:r>
        <w:rPr>
          <w:rFonts w:cs="FrankRuehl" w:ascii="FrankRuehl" w:hAnsi="FrankRuehl"/>
          <w:sz w:val="28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בטיעוניו שם דגש על  נסיבות חייו של הנאשם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אדם נורמטיבי בעל משפחה תומכת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אב לשני ילדים קטנים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יציב מבחינה תעסוקתית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מעצרו למשך כחודש ימים הותיר צלקת עמוקה בליבו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הנאשם היה עצור באזוק אלקטרוני מיום </w:t>
      </w:r>
      <w:r>
        <w:rPr>
          <w:rFonts w:cs="FrankRuehl" w:ascii="FrankRuehl" w:hAnsi="FrankRuehl"/>
          <w:sz w:val="28"/>
        </w:rPr>
        <w:t>9.1.2019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ועד </w:t>
      </w:r>
      <w:r>
        <w:rPr>
          <w:rFonts w:cs="FrankRuehl" w:ascii="FrankRuehl" w:hAnsi="FrankRuehl"/>
          <w:sz w:val="28"/>
        </w:rPr>
        <w:t>16.6.2019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 xml:space="preserve">הסנגור ניתח את </w:t>
      </w:r>
      <w:r>
        <w:rPr>
          <w:rFonts w:ascii="FrankRuehl" w:hAnsi="FrankRuehl"/>
          <w:sz w:val="28"/>
          <w:sz w:val="28"/>
          <w:rtl w:val="true"/>
        </w:rPr>
        <w:t>האמור ב</w:t>
      </w:r>
      <w:r>
        <w:rPr>
          <w:rFonts w:ascii="FrankRuehl" w:hAnsi="FrankRuehl"/>
          <w:sz w:val="28"/>
          <w:sz w:val="28"/>
          <w:rtl w:val="true"/>
        </w:rPr>
        <w:t>תסקיר שירות המבחן הפנה לנתונים החיובים המפורטים בו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לשיתוף הפעולה עם שירות המבחן ומהתרשמות קצינת המבחן כי אין לנאשם דפוסי התנהגות עבריינים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 xml:space="preserve">הסנגור חלק על מסקנות קצינת המבחן </w:t>
      </w:r>
      <w:r>
        <w:rPr>
          <w:rFonts w:ascii="FrankRuehl" w:hAnsi="FrankRuehl"/>
          <w:sz w:val="28"/>
          <w:sz w:val="28"/>
          <w:rtl w:val="true"/>
        </w:rPr>
        <w:t xml:space="preserve">וטען </w:t>
      </w:r>
      <w:r>
        <w:rPr>
          <w:rFonts w:ascii="FrankRuehl" w:hAnsi="FrankRuehl"/>
          <w:sz w:val="28"/>
          <w:sz w:val="28"/>
          <w:rtl w:val="true"/>
        </w:rPr>
        <w:t>כי הנאשם לקח אחריות מלאה ושליחתו למאסר מאחורי סורג ובריח תפגע בו ובמשפחתו פגיעה קשה עם נזק בלתי הפיך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בתום הטיעונים הנאשם הביע צער על מעשיו ביקש שתינתן לו הזדמנות להישאר עם ילדיו ולהמשיך בחייו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Miriam" w:hAnsi="Miriam" w:cs="Miriam"/>
          <w:szCs w:val="24"/>
        </w:rPr>
      </w:pPr>
      <w:r>
        <w:rPr>
          <w:rFonts w:ascii="Miriam" w:hAnsi="Miriam" w:cs="Miriam"/>
          <w:szCs w:val="24"/>
          <w:rtl w:val="true"/>
        </w:rPr>
        <w:t>דיון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 xml:space="preserve">במקרה זה חל תיקון </w:t>
      </w:r>
      <w:r>
        <w:rPr>
          <w:rFonts w:cs="FrankRuehl" w:ascii="FrankRuehl" w:hAnsi="FrankRuehl"/>
          <w:sz w:val="28"/>
        </w:rPr>
        <w:t>113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לחוק שקובע כי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 עליו</w:t>
      </w:r>
      <w:r>
        <w:rPr>
          <w:rFonts w:cs="FrankRuehl" w:ascii="FrankRuehl" w:hAnsi="FrankRuehl"/>
          <w:sz w:val="28"/>
          <w:rtl w:val="true"/>
        </w:rPr>
        <w:t>" (</w:t>
      </w:r>
      <w:hyperlink r:id="rId10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40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לחוק</w:t>
      </w:r>
      <w:r>
        <w:rPr>
          <w:rFonts w:cs="FrankRuehl" w:ascii="FrankRuehl" w:hAnsi="FrankRuehl"/>
          <w:sz w:val="28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color w:val="FF0000"/>
          <w:sz w:val="28"/>
        </w:rPr>
      </w:pPr>
      <w:r>
        <w:rPr>
          <w:rFonts w:cs="FrankRuehl" w:ascii="FrankRuehl" w:hAnsi="FrankRuehl"/>
          <w:color w:val="FF0000"/>
          <w:sz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Miriam" w:hAnsi="Miriam" w:cs="Miriam"/>
          <w:szCs w:val="24"/>
        </w:rPr>
      </w:pPr>
      <w:r>
        <w:rPr>
          <w:rFonts w:ascii="Miriam" w:hAnsi="Miriam" w:cs="Miriam"/>
          <w:szCs w:val="24"/>
          <w:rtl w:val="true"/>
        </w:rPr>
        <w:t>מתחם העונש 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</w:rPr>
      </w:pPr>
      <w:r>
        <w:rPr>
          <w:rFonts w:eastAsia="FrankRuehl"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במהלך ה</w:t>
      </w:r>
      <w:r>
        <w:rPr>
          <w:rFonts w:ascii="FrankRuehl" w:hAnsi="FrankRuehl"/>
          <w:sz w:val="28"/>
          <w:sz w:val="28"/>
          <w:rtl w:val="true"/>
        </w:rPr>
        <w:t>אירוע נהג הנאשם ברכבו כשמתחת לבגדיו אקדח ובתוכו מחסנית ועל מושב הנוסע מחסנית נוספת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FrankRuehl" w:hAnsi="FrankRuehl"/>
          <w:sz w:val="28"/>
          <w:sz w:val="28"/>
          <w:rtl w:val="true"/>
        </w:rPr>
        <w:t>בכל עבירה בנשק יש פוטנציאל פגיעה משמעותי בערכים החברתיים של שלום הציבור וביטחונו וסיכון ממשי לחיי אדם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במקרה זה הפגיעה בערכים אלו </w:t>
      </w:r>
      <w:r>
        <w:rPr>
          <w:rFonts w:ascii="FrankRuehl" w:hAnsi="FrankRuehl"/>
          <w:sz w:val="28"/>
          <w:sz w:val="28"/>
          <w:rtl w:val="true"/>
        </w:rPr>
        <w:t>לא הייתה חמורה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color w:val="FF000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אשר למדיניות הענישה הנהוגה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מנעד הענישה בעבירות בנשק רחב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בין השאר בהתחשב בסוג העבירה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נשיאה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סוג הנשק וכמותו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מקובלת עליי טענת המאשימה כי יש לראות בעובדה כי האקדח היה טעון במחסנית נסיבה מחמירה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שהנשק היה זמין ונגיש לפעילות מידית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נסיבה המעצימה את פוטנציאל המסוכנות להפיכת הנשק לכלי קטלני גם לא במכוון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העובדה כי ברכב היו נוסעים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שני ילדיו הקטנים מחזקת את החשש לפגיעה כאמור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העונש המרבי הקבוע בחוק בגין עבירה של החזקת נשק עומד על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שנות מאסר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1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רישא לחוק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color w:val="FF000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בתי  המשפט עמדו לא פעם על החומרה הרבה הגלומה בעבירות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כאשר מדובר בעבירה של החזקה ונשיאה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 בשל הפוטנציאל לגרימת נזק חמור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ראו לעניין זה דברי כב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השופט סולברג ב</w:t>
      </w:r>
      <w:hyperlink r:id="rId12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135/17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מדינת ישראל נגד בסל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8.3.2018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אשר קובע כדלקמן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start="1080" w:end="709"/>
        <w:jc w:val="both"/>
        <w:rPr/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בית משפט זה עמד לא פעם על חומרתן של עבירות נשק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ובכללן עבירות של החזקת ונשיאת נשק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תוך שהוא מציין את חומרת המעשה ואת פוטנציאל הנזק הכרוך בו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נשק המתגלגל מיד ליד עלול להגיע לידי גורמים עברייניים או לפעילות ביטחונית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פגיעתו הרעה מורגשת ומהווה איום על שלום הציבור כולו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כתוצאה מכך גדל ההכרח להרתיע את היחיד והרבים מפני עיסוק בכך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start="1080" w:end="709"/>
        <w:jc w:val="both"/>
        <w:rPr>
          <w:rFonts w:ascii="FrankRuehl" w:hAnsi="FrankRuehl" w:cs="FrankRuehl"/>
          <w:color w:val="FF0000"/>
          <w:spacing w:val="10"/>
          <w:sz w:val="28"/>
          <w:szCs w:val="28"/>
        </w:rPr>
      </w:pPr>
      <w:r>
        <w:rPr>
          <w:rFonts w:cs="FrankRuehl" w:ascii="FrankRuehl" w:hAnsi="FrankRuehl"/>
          <w:color w:val="FF0000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עוד ראו </w:t>
      </w:r>
      <w:hyperlink r:id="rId13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3877/16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ג</w:t>
      </w:r>
      <w:r>
        <w:rPr>
          <w:rFonts w:cs="Miriam" w:ascii="Miriam" w:hAnsi="Miriam"/>
          <w:spacing w:val="10"/>
          <w:rtl w:val="true"/>
        </w:rPr>
        <w:t>'</w:t>
      </w:r>
      <w:r>
        <w:rPr>
          <w:rFonts w:ascii="Miriam" w:hAnsi="Miriam" w:cs="Miriam"/>
          <w:spacing w:val="10"/>
          <w:rtl w:val="true"/>
        </w:rPr>
        <w:t>באלי נגד מדינת ישראל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17.11.2016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אשר קבע לעניין עבירת החזקת נשק ונשיאתו כדלקמן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start="1080" w:end="851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עבירות אלה מקימות סיכון חמור לשלום הציבור וביטחונו ומחייבות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ליתן ביטוי עונשי הולם ומרתיע באמצעות הרחקת מבצע העבירה מן החברה לתקופת מאסר ממשית לריצוי בפועל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[...]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עוד נפסק כי חומרתן של העבירות בנשק אינה מסתכמת רק בנזק שאירע בפועל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אם בפוטנציאל הנזק הנובע מאותן עבירות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1080" w:end="851"/>
        <w:jc w:val="both"/>
        <w:rPr>
          <w:rFonts w:ascii="FrankRuehl" w:hAnsi="FrankRuehl" w:cs="FrankRuehl"/>
          <w:color w:val="FF0000"/>
          <w:spacing w:val="10"/>
          <w:sz w:val="28"/>
          <w:szCs w:val="28"/>
        </w:rPr>
      </w:pPr>
      <w:r>
        <w:rPr>
          <w:rFonts w:cs="FrankRuehl" w:ascii="FrankRuehl" w:hAnsi="FrankRuehl"/>
          <w:color w:val="FF0000"/>
          <w:spacing w:val="10"/>
          <w:sz w:val="28"/>
          <w:szCs w:val="28"/>
          <w:rtl w:val="true"/>
        </w:rPr>
      </w:r>
    </w:p>
    <w:p>
      <w:pPr>
        <w:pStyle w:val="Ruller3"/>
        <w:numPr>
          <w:ilvl w:val="0"/>
          <w:numId w:val="2"/>
        </w:numPr>
        <w:tabs>
          <w:tab w:val="clear" w:pos="720"/>
        </w:tabs>
        <w:ind w:hanging="360" w:start="368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ב</w:t>
      </w:r>
      <w:hyperlink r:id="rId14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2398/14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אלהזייל נגד מדינת ישראל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8.7.2014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/>
          <w:sz w:val="28"/>
          <w:sz w:val="28"/>
          <w:rtl w:val="true"/>
        </w:rPr>
        <w:t>הורשע הנאשם באותה עבירה בנסיבות דומות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הוא החזיק ברכבו בקופסה שהייתה על מושב הנוסע הקדמי באקדח ובו מחסנית עם כדורים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 xml:space="preserve">בית המשפט המחוזי גזר עליו עונש של </w:t>
      </w:r>
      <w:r>
        <w:rPr>
          <w:rFonts w:cs="FrankRuehl" w:ascii="FrankRuehl" w:hAnsi="FrankRuehl"/>
          <w:sz w:val="28"/>
        </w:rPr>
        <w:t>13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חודשי מאסר בפועל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ערעורו נדחה על ידי בית המשפט העליון וכך נקבע באותו פסק דין</w:t>
      </w:r>
      <w:r>
        <w:rPr>
          <w:rFonts w:cs="FrankRuehl" w:ascii="FrankRuehl" w:hAnsi="FrankRuehl"/>
          <w:sz w:val="28"/>
          <w:rtl w:val="true"/>
        </w:rPr>
        <w:t>:</w:t>
      </w:r>
    </w:p>
    <w:p>
      <w:pPr>
        <w:pStyle w:val="Ruller41"/>
        <w:spacing w:lineRule="auto" w:line="240"/>
        <w:ind w:start="1440" w:end="567"/>
        <w:jc w:val="both"/>
        <w:rPr/>
      </w:pP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אחזור ואדגיש את מדיניות ההחמרה בעבירות נשק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שבאה לידי ביטוי בשורה ארוכה של פסקי דין של בית משפט זה בשנים האחרונות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ראו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לדוגמה</w:t>
      </w:r>
      <w:r>
        <w:rPr>
          <w:rFonts w:cs="FrankRuehl" w:ascii="FrankRuehl" w:hAnsi="FrankRuehl"/>
          <w:sz w:val="28"/>
          <w:rtl w:val="true"/>
        </w:rPr>
        <w:t xml:space="preserve">, </w:t>
      </w:r>
      <w:hyperlink r:id="rId15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4945/13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עבד אלכרים סלימאן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19.1.2014</w:t>
      </w:r>
      <w:r>
        <w:rPr>
          <w:rFonts w:cs="FrankRuehl" w:ascii="FrankRuehl" w:hAnsi="FrankRuehl"/>
          <w:sz w:val="28"/>
          <w:rtl w:val="true"/>
        </w:rPr>
        <w:t xml:space="preserve">)). </w:t>
      </w:r>
      <w:r>
        <w:rPr>
          <w:rFonts w:ascii="FrankRuehl" w:hAnsi="FrankRuehl"/>
          <w:sz w:val="28"/>
          <w:sz w:val="28"/>
          <w:rtl w:val="true"/>
        </w:rPr>
        <w:t>לזמינות הבלתי נסבלת של נשק חם בידי מי שאינם מורשים לכך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יש פוטנציאל לשמש ל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חיסול חשבונות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>ול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פתרון סכסוכים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>כמו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/>
          <w:sz w:val="28"/>
          <w:sz w:val="28"/>
          <w:rtl w:val="true"/>
        </w:rPr>
        <w:t>גם לעבירות חמורות נוספות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המציאות בארצנו מוכיחה כי הקלישאה אודות האקדח במערכה הראשונה אינה מדויקת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באשר לעיתים מזומנות האקדח אינו ממתין עד למערכה האחרונה ויורה עוד קודם לכן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מכאן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שבעבירות כגון דא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גם לשיקולי ההרתעה משקל של ממש</w:t>
      </w:r>
      <w:r>
        <w:rPr>
          <w:rFonts w:cs="FrankRuehl" w:ascii="FrankRuehl" w:hAnsi="FrankRuehl"/>
          <w:sz w:val="28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הפנתה בטיעוניה ל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3632/14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אבו סבית נגד 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8.12.2014</w:t>
      </w:r>
      <w:r>
        <w:rPr>
          <w:rFonts w:cs="FrankRuehl" w:ascii="FrankRuehl" w:hAnsi="FrankRuehl"/>
          <w:sz w:val="28"/>
          <w:szCs w:val="28"/>
          <w:rtl w:val="true"/>
        </w:rPr>
        <w:t xml:space="preserve">),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באותו מקרה נדחה ערעורו של צעיר ללא עבר פלילי שנדון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בגין עבירה של החזקת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FrankRuehl" w:hAnsi="FrankRuehl"/>
          <w:sz w:val="28"/>
          <w:sz w:val="28"/>
          <w:rtl w:val="true"/>
        </w:rPr>
        <w:t>הסנגור הפנה ל</w:t>
      </w:r>
      <w:hyperlink r:id="rId17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8473/17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חשיבון נגד מדינת ישראל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27.6.2019</w:t>
      </w:r>
      <w:r>
        <w:rPr>
          <w:rFonts w:cs="FrankRuehl" w:ascii="FrankRuehl" w:hAnsi="FrankRuehl"/>
          <w:sz w:val="28"/>
          <w:rtl w:val="true"/>
        </w:rPr>
        <w:t>) (</w:t>
      </w:r>
      <w:r>
        <w:rPr>
          <w:rFonts w:ascii="FrankRuehl" w:hAnsi="FrankRuehl"/>
          <w:sz w:val="28"/>
          <w:sz w:val="28"/>
          <w:rtl w:val="true"/>
        </w:rPr>
        <w:t>להלן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/>
          <w:sz w:val="28"/>
          <w:sz w:val="28"/>
          <w:rtl w:val="true"/>
        </w:rPr>
        <w:t>ענין חשיבון</w:t>
      </w:r>
      <w:r>
        <w:rPr>
          <w:rFonts w:cs="FrankRuehl" w:ascii="FrankRuehl" w:hAnsi="FrankRuehl"/>
          <w:sz w:val="28"/>
          <w:rtl w:val="true"/>
        </w:rPr>
        <w:t xml:space="preserve">). </w:t>
      </w:r>
      <w:r>
        <w:rPr>
          <w:rFonts w:ascii="FrankRuehl" w:hAnsi="FrankRuehl"/>
          <w:sz w:val="28"/>
          <w:sz w:val="28"/>
          <w:rtl w:val="true"/>
        </w:rPr>
        <w:t>הנאשם באותו מקרה החזיק באקדח ללא תחמושת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בית המשפט המחוזי קבע מתחם ענישה שבין </w:t>
      </w:r>
      <w:r>
        <w:rPr>
          <w:rFonts w:cs="FrankRuehl" w:ascii="FrankRuehl" w:hAnsi="FrankRuehl"/>
          <w:sz w:val="28"/>
        </w:rPr>
        <w:t>12</w:t>
      </w:r>
      <w:r>
        <w:rPr>
          <w:rFonts w:cs="FrankRuehl" w:ascii="FrankRuehl" w:hAnsi="FrankRuehl"/>
          <w:sz w:val="28"/>
          <w:rtl w:val="true"/>
        </w:rPr>
        <w:t xml:space="preserve">  </w:t>
      </w:r>
      <w:r>
        <w:rPr>
          <w:rFonts w:ascii="FrankRuehl" w:hAnsi="FrankRuehl"/>
          <w:sz w:val="28"/>
          <w:sz w:val="28"/>
          <w:rtl w:val="true"/>
        </w:rPr>
        <w:t>ל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36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חודשי מאסר בפועל והטיל עליו עונש של </w:t>
      </w:r>
      <w:r>
        <w:rPr>
          <w:rFonts w:cs="FrankRuehl" w:ascii="FrankRuehl" w:hAnsi="FrankRuehl"/>
          <w:sz w:val="28"/>
        </w:rPr>
        <w:t>16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חודשי מאסר בפועל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ערעורו של הנאשם לבית המשפט העליון התקבל והועמד על </w:t>
      </w:r>
      <w:r>
        <w:rPr>
          <w:rFonts w:cs="FrankRuehl" w:ascii="FrankRuehl" w:hAnsi="FrankRuehl"/>
          <w:sz w:val="28"/>
        </w:rPr>
        <w:t>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חודשי מאסר בעבודות שירות בשל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נסיבות מיוחדות של תיק זה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המערער עבר תהליך שיקומי משמעותי</w:t>
      </w:r>
      <w:r>
        <w:rPr>
          <w:rFonts w:cs="FrankRuehl" w:ascii="FrankRuehl" w:hAnsi="FrankRuehl"/>
          <w:sz w:val="28"/>
          <w:rtl w:val="true"/>
        </w:rPr>
        <w:t>".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FrankRuehl" w:hAnsi="FrankRuehl"/>
          <w:sz w:val="28"/>
          <w:sz w:val="28"/>
          <w:rtl w:val="true"/>
        </w:rPr>
        <w:t>עוד הפנה הסנגור ל</w:t>
      </w:r>
      <w:hyperlink r:id="rId18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4945/13</w:t>
        </w:r>
      </w:hyperlink>
      <w:r>
        <w:rPr>
          <w:rFonts w:cs="FrankRuehl" w:ascii="FrankRuehl" w:hAnsi="FrankRuehl"/>
          <w:sz w:val="28"/>
          <w:rtl w:val="true"/>
          <w:lang w:eastAsia="he-IL"/>
        </w:rPr>
        <w:t xml:space="preserve"> </w:t>
      </w:r>
      <w:r>
        <w:rPr>
          <w:rFonts w:ascii="Miriam" w:hAnsi="Miriam" w:cs="Miriam"/>
          <w:szCs w:val="24"/>
          <w:rtl w:val="true"/>
          <w:lang w:eastAsia="he-IL"/>
        </w:rPr>
        <w:t>מדינת ישראל נ</w:t>
      </w:r>
      <w:r>
        <w:rPr>
          <w:rFonts w:cs="Miriam" w:ascii="Miriam" w:hAnsi="Miriam"/>
          <w:szCs w:val="24"/>
          <w:rtl w:val="true"/>
          <w:lang w:eastAsia="he-IL"/>
        </w:rPr>
        <w:t xml:space="preserve">' </w:t>
      </w:r>
      <w:r>
        <w:rPr>
          <w:rFonts w:ascii="Miriam" w:hAnsi="Miriam" w:cs="Miriam"/>
          <w:szCs w:val="24"/>
          <w:rtl w:val="true"/>
          <w:lang w:eastAsia="he-IL"/>
        </w:rPr>
        <w:t>סלימאן</w:t>
      </w:r>
      <w:r>
        <w:rPr>
          <w:rFonts w:ascii="FrankRuehl" w:hAnsi="FrankRuehl"/>
          <w:sz w:val="28"/>
          <w:sz w:val="28"/>
          <w:rtl w:val="true"/>
          <w:lang w:eastAsia="he-IL"/>
        </w:rPr>
        <w:t xml:space="preserve"> </w:t>
      </w:r>
      <w:r>
        <w:rPr>
          <w:rFonts w:cs="FrankRuehl" w:ascii="FrankRuehl" w:hAnsi="FrankRuehl"/>
          <w:sz w:val="28"/>
          <w:rtl w:val="true"/>
          <w:lang w:eastAsia="he-IL"/>
        </w:rPr>
        <w:t>(</w:t>
      </w:r>
      <w:r>
        <w:rPr>
          <w:rFonts w:cs="FrankRuehl" w:ascii="FrankRuehl" w:hAnsi="FrankRuehl"/>
          <w:sz w:val="28"/>
          <w:lang w:eastAsia="he-IL"/>
        </w:rPr>
        <w:t>19.1.2014</w:t>
      </w:r>
      <w:r>
        <w:rPr>
          <w:rFonts w:cs="FrankRuehl" w:ascii="FrankRuehl" w:hAnsi="FrankRuehl"/>
          <w:sz w:val="28"/>
          <w:rtl w:val="true"/>
          <w:lang w:eastAsia="he-IL"/>
        </w:rPr>
        <w:t>) (</w:t>
      </w:r>
      <w:r>
        <w:rPr>
          <w:rFonts w:ascii="FrankRuehl" w:hAnsi="FrankRuehl"/>
          <w:sz w:val="28"/>
          <w:sz w:val="28"/>
          <w:rtl w:val="true"/>
          <w:lang w:eastAsia="he-IL"/>
        </w:rPr>
        <w:t>להלן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- </w:t>
      </w:r>
      <w:r>
        <w:rPr>
          <w:rFonts w:ascii="FrankRuehl" w:hAnsi="FrankRuehl"/>
          <w:sz w:val="28"/>
          <w:sz w:val="28"/>
          <w:rtl w:val="true"/>
          <w:lang w:eastAsia="he-IL"/>
        </w:rPr>
        <w:t>ענין סלימאן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), </w:t>
      </w:r>
      <w:r>
        <w:rPr>
          <w:rFonts w:ascii="FrankRuehl" w:hAnsi="FrankRuehl"/>
          <w:sz w:val="28"/>
          <w:sz w:val="28"/>
          <w:rtl w:val="true"/>
          <w:lang w:eastAsia="he-IL"/>
        </w:rPr>
        <w:t xml:space="preserve">בו הגישה המדינה ערעור על קולת עונשו של משיב בן </w:t>
      </w:r>
      <w:r>
        <w:rPr>
          <w:rFonts w:cs="FrankRuehl" w:ascii="FrankRuehl" w:hAnsi="FrankRuehl"/>
          <w:sz w:val="28"/>
          <w:lang w:eastAsia="he-IL"/>
        </w:rPr>
        <w:t>20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 </w:t>
      </w:r>
      <w:r>
        <w:rPr>
          <w:rFonts w:ascii="FrankRuehl" w:hAnsi="FrankRuehl"/>
          <w:sz w:val="28"/>
          <w:sz w:val="28"/>
          <w:rtl w:val="true"/>
          <w:lang w:eastAsia="he-IL"/>
        </w:rPr>
        <w:t>אשר הורשע בעבירה של רכישה והחזקה של נשק ותחמושת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, </w:t>
      </w:r>
      <w:r>
        <w:rPr>
          <w:rFonts w:ascii="FrankRuehl" w:hAnsi="FrankRuehl"/>
          <w:sz w:val="28"/>
          <w:sz w:val="28"/>
          <w:rtl w:val="true"/>
          <w:lang w:eastAsia="he-IL"/>
        </w:rPr>
        <w:t>נשיאה והובלת נשק ותחמושת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, </w:t>
      </w:r>
      <w:r>
        <w:rPr>
          <w:rFonts w:ascii="FrankRuehl" w:hAnsi="FrankRuehl"/>
          <w:sz w:val="28"/>
          <w:sz w:val="28"/>
          <w:rtl w:val="true"/>
          <w:lang w:eastAsia="he-IL"/>
        </w:rPr>
        <w:t>הפרעה לשוטר במילוי תפקידו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, </w:t>
      </w:r>
      <w:r>
        <w:rPr>
          <w:rFonts w:ascii="FrankRuehl" w:hAnsi="FrankRuehl"/>
          <w:sz w:val="28"/>
          <w:sz w:val="28"/>
          <w:rtl w:val="true"/>
          <w:lang w:eastAsia="he-IL"/>
        </w:rPr>
        <w:t>מעשה פזיזות ורשלנות והסתייעות ברכב לביצוע פשע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. </w:t>
      </w:r>
      <w:r>
        <w:rPr>
          <w:rFonts w:ascii="FrankRuehl" w:hAnsi="FrankRuehl"/>
          <w:sz w:val="28"/>
          <w:sz w:val="28"/>
          <w:rtl w:val="true"/>
          <w:lang w:eastAsia="he-IL"/>
        </w:rPr>
        <w:t>בית משפט המחוזי קבע מתחם שנע בין מאסר שירוצה בעבודות שירות ל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- </w:t>
      </w:r>
      <w:r>
        <w:rPr>
          <w:rFonts w:cs="FrankRuehl" w:ascii="FrankRuehl" w:hAnsi="FrankRuehl"/>
          <w:sz w:val="28"/>
          <w:lang w:eastAsia="he-IL"/>
        </w:rPr>
        <w:t>20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 </w:t>
      </w:r>
      <w:r>
        <w:rPr>
          <w:rFonts w:ascii="FrankRuehl" w:hAnsi="FrankRuehl"/>
          <w:sz w:val="28"/>
          <w:sz w:val="28"/>
          <w:rtl w:val="true"/>
          <w:lang w:eastAsia="he-IL"/>
        </w:rPr>
        <w:t>חודשי מאסר בפועל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, </w:t>
      </w:r>
      <w:r>
        <w:rPr>
          <w:rFonts w:ascii="FrankRuehl" w:hAnsi="FrankRuehl"/>
          <w:sz w:val="28"/>
          <w:sz w:val="28"/>
          <w:rtl w:val="true"/>
          <w:lang w:eastAsia="he-IL"/>
        </w:rPr>
        <w:t xml:space="preserve">נגזר על המבקש עונש של </w:t>
      </w:r>
      <w:r>
        <w:rPr>
          <w:rFonts w:cs="FrankRuehl" w:ascii="FrankRuehl" w:hAnsi="FrankRuehl"/>
          <w:sz w:val="28"/>
          <w:lang w:eastAsia="he-IL"/>
        </w:rPr>
        <w:t>6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 </w:t>
      </w:r>
      <w:r>
        <w:rPr>
          <w:rFonts w:ascii="FrankRuehl" w:hAnsi="FrankRuehl"/>
          <w:sz w:val="28"/>
          <w:sz w:val="28"/>
          <w:rtl w:val="true"/>
          <w:lang w:eastAsia="he-IL"/>
        </w:rPr>
        <w:t>חודשים לביצוע בעבודות שירות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.  </w:t>
      </w:r>
      <w:r>
        <w:rPr>
          <w:rFonts w:ascii="FrankRuehl" w:hAnsi="FrankRuehl"/>
          <w:sz w:val="28"/>
          <w:sz w:val="28"/>
          <w:rtl w:val="true"/>
          <w:lang w:eastAsia="he-IL"/>
        </w:rPr>
        <w:t>בית משפט העליון אומנם דחה את הערעור ב</w:t>
      </w:r>
      <w:r>
        <w:rPr>
          <w:rFonts w:ascii="FrankRuehl" w:hAnsi="FrankRuehl"/>
          <w:sz w:val="28"/>
          <w:sz w:val="28"/>
          <w:rtl w:val="true"/>
          <w:lang w:eastAsia="he-IL"/>
        </w:rPr>
        <w:t>של ה</w:t>
      </w:r>
      <w:r>
        <w:rPr>
          <w:rFonts w:ascii="FrankRuehl" w:hAnsi="FrankRuehl"/>
          <w:sz w:val="28"/>
          <w:sz w:val="28"/>
          <w:rtl w:val="true"/>
          <w:lang w:eastAsia="he-IL"/>
        </w:rPr>
        <w:t xml:space="preserve">נסיבות המיוחדות של </w:t>
      </w:r>
      <w:r>
        <w:rPr>
          <w:rFonts w:ascii="FrankRuehl" w:hAnsi="FrankRuehl"/>
          <w:sz w:val="28"/>
          <w:sz w:val="28"/>
          <w:rtl w:val="true"/>
          <w:lang w:eastAsia="he-IL"/>
        </w:rPr>
        <w:t xml:space="preserve">אותו </w:t>
      </w:r>
      <w:r>
        <w:rPr>
          <w:rFonts w:ascii="FrankRuehl" w:hAnsi="FrankRuehl"/>
          <w:sz w:val="28"/>
          <w:sz w:val="28"/>
          <w:rtl w:val="true"/>
          <w:lang w:eastAsia="he-IL"/>
        </w:rPr>
        <w:t xml:space="preserve">תיק </w:t>
      </w:r>
      <w:r>
        <w:rPr>
          <w:rFonts w:cs="FrankRuehl" w:ascii="FrankRuehl" w:hAnsi="FrankRuehl"/>
          <w:sz w:val="28"/>
          <w:rtl w:val="true"/>
          <w:lang w:eastAsia="he-IL"/>
        </w:rPr>
        <w:t>(</w:t>
      </w:r>
      <w:r>
        <w:rPr>
          <w:rFonts w:ascii="FrankRuehl" w:hAnsi="FrankRuehl"/>
          <w:sz w:val="28"/>
          <w:sz w:val="28"/>
          <w:rtl w:val="true"/>
          <w:lang w:eastAsia="he-IL"/>
        </w:rPr>
        <w:t>כאשר אחד משופטי ההרכב הגדיר זאת</w:t>
      </w:r>
      <w:r>
        <w:rPr>
          <w:rFonts w:ascii="FrankRuehl" w:hAnsi="FrankRuehl"/>
          <w:sz w:val="28"/>
          <w:sz w:val="28"/>
          <w:rtl w:val="true"/>
          <w:lang w:eastAsia="he-IL"/>
        </w:rPr>
        <w:t xml:space="preserve"> כך</w:t>
      </w:r>
      <w:r>
        <w:rPr>
          <w:rFonts w:cs="FrankRuehl" w:ascii="FrankRuehl" w:hAnsi="FrankRuehl"/>
          <w:sz w:val="28"/>
          <w:rtl w:val="true"/>
          <w:lang w:eastAsia="he-IL"/>
        </w:rPr>
        <w:t>: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 "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המשיב נמלט לטעמי מן המאסר אך בעור שיניו</w:t>
      </w:r>
      <w:r>
        <w:rPr>
          <w:rFonts w:cs="FrankRuehl" w:ascii="FrankRuehl" w:hAnsi="FrankRuehl"/>
          <w:sz w:val="28"/>
          <w:rtl w:val="true"/>
          <w:lang w:eastAsia="he-IL"/>
        </w:rPr>
        <w:t xml:space="preserve">..."), </w:t>
      </w:r>
      <w:r>
        <w:rPr>
          <w:rFonts w:ascii="FrankRuehl" w:hAnsi="FrankRuehl"/>
          <w:sz w:val="28"/>
          <w:sz w:val="28"/>
          <w:rtl w:val="true"/>
          <w:lang w:eastAsia="he-IL"/>
        </w:rPr>
        <w:t>וכך נקבע</w:t>
      </w:r>
      <w:r>
        <w:rPr>
          <w:rFonts w:cs="FrankRuehl" w:ascii="FrankRuehl" w:hAnsi="FrankRuehl"/>
          <w:sz w:val="28"/>
          <w:rtl w:val="true"/>
          <w:lang w:eastAsia="he-IL"/>
        </w:rPr>
        <w:t>:</w:t>
      </w:r>
    </w:p>
    <w:p>
      <w:pPr>
        <w:pStyle w:val="Ruller41"/>
        <w:spacing w:lineRule="auto" w:line="240"/>
        <w:ind w:start="1502" w:end="709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לטעמי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מתחם העונש שקבע בית המשפט המחוזי לעבירות שבהן הורשע המשיב – מאסר בפועל לריצוי בעבודות שירות ועד </w:t>
      </w:r>
      <w:r>
        <w:rPr>
          <w:rFonts w:cs="FrankRuehl" w:ascii="FrankRuehl" w:hAnsi="FrankRuehl"/>
          <w:sz w:val="28"/>
        </w:rPr>
        <w:t>20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חודשי מאסר בפועל – הוא מקל יתר על המידה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כטענת המערערת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ועל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/>
          <w:sz w:val="28"/>
          <w:sz w:val="28"/>
          <w:rtl w:val="true"/>
        </w:rPr>
        <w:t>כן טעון התערבות</w:t>
      </w:r>
      <w:r>
        <w:rPr>
          <w:rFonts w:cs="FrankRuehl" w:ascii="FrankRuehl" w:hAnsi="FrankRuehl"/>
          <w:sz w:val="28"/>
          <w:rtl w:val="true"/>
        </w:rPr>
        <w:t xml:space="preserve">... </w:t>
      </w:r>
      <w:r>
        <w:rPr>
          <w:rFonts w:ascii="FrankRuehl" w:hAnsi="FrankRuehl"/>
          <w:sz w:val="28"/>
          <w:sz w:val="28"/>
          <w:rtl w:val="true"/>
        </w:rPr>
        <w:t>כפי שבית המשפט עצמו ציין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עבירות המבוצעות בנשק – לרבות רכישה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החזקה ונשיאת נשק – טומנות בחובן פוטנציאל סיכון הרסני לפגיעה בשלום הציבור וביטחונו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החשש הוא כי נשק המוחזק שלא כדין ישמש לפעילות עבריינית העלולה להביא לפגיעה ואף לקיפוח חייהם של אזרחים תמימים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אכן</w:t>
      </w:r>
      <w:r>
        <w:rPr>
          <w:rFonts w:cs="FrankRuehl" w:ascii="FrankRuehl" w:hAnsi="FrankRuehl"/>
          <w:sz w:val="28"/>
          <w:rtl w:val="true"/>
        </w:rPr>
        <w:t>, "</w:t>
      </w:r>
      <w:r>
        <w:rPr>
          <w:rFonts w:ascii="FrankRuehl" w:hAnsi="FrankRuehl"/>
          <w:sz w:val="28"/>
          <w:sz w:val="28"/>
          <w:rtl w:val="true"/>
        </w:rPr>
        <w:t>התגלגלותם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>של כלי נשק מיד ליד ללא פיקוח עלול להוביל להגעתם בדרך לא דרך לגורמים פליליים ועוינים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אין לדעת מה יעלה בגורלם של כלי נשק אלה ולאילו תוצאות הרסניות יובילו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ודוק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/>
          <w:sz w:val="28"/>
          <w:sz w:val="28"/>
          <w:rtl w:val="true"/>
        </w:rPr>
        <w:t>הסיכון שנשקף לשלום הציבור צריך להילקח בחשבון על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ascii="FrankRuehl" w:hAnsi="FrankRuehl"/>
          <w:sz w:val="28"/>
          <w:sz w:val="28"/>
          <w:rtl w:val="true"/>
        </w:rPr>
        <w:t>ידי כל מי שמחזיק בידו נשק שלא כדין – גם אם אינו מחזיק בו למטרת ביצוען של עבירות אחרות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באשר המחזיק בו נתון תמיד לחשש שיתפתה לעשות בו שימוש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ולו ברגעי לחץ ופחד</w:t>
      </w:r>
      <w:r>
        <w:rPr>
          <w:rFonts w:cs="FrankRuehl" w:ascii="FrankRuehl" w:hAnsi="FrankRuehl"/>
          <w:sz w:val="28"/>
          <w:rtl w:val="true"/>
        </w:rPr>
        <w:t xml:space="preserve">".. </w:t>
      </w:r>
    </w:p>
    <w:p>
      <w:pPr>
        <w:pStyle w:val="Ruller41"/>
        <w:spacing w:lineRule="auto" w:line="240"/>
        <w:ind w:start="1502" w:end="709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start="793" w:end="142"/>
        <w:jc w:val="both"/>
        <w:rPr/>
      </w:pPr>
      <w:r>
        <w:rPr>
          <w:rFonts w:ascii="FrankRuehl" w:hAnsi="FrankRuehl"/>
          <w:sz w:val="28"/>
          <w:sz w:val="28"/>
          <w:rtl w:val="true"/>
        </w:rPr>
        <w:t>בהמשך פסק הדין קבע בית המשפט העליון מתחם ענישה הולם שנע בין</w:t>
      </w:r>
      <w:r>
        <w:rPr>
          <w:rFonts w:ascii="FrankRuehl" w:hAnsi="FrankRuehl"/>
          <w:sz w:val="28"/>
          <w:sz w:val="28"/>
          <w:rtl w:val="true"/>
        </w:rPr>
        <w:t xml:space="preserve">               </w:t>
      </w:r>
      <w:r>
        <w:rPr>
          <w:rFonts w:cs="FrankRuehl" w:ascii="FrankRuehl" w:hAnsi="FrankRuehl"/>
          <w:sz w:val="28"/>
        </w:rPr>
        <w:t>12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36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חודשי מאסר בפועל ומאחר למשיב היה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פוטנציאל שיקום גבוה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>הוא בחר לחרוג ממתחם הענישה ולהסתפק בעונש של מאסר בעבודות שירות</w:t>
      </w:r>
      <w:r>
        <w:rPr>
          <w:rFonts w:cs="FrankRuehl" w:ascii="FrankRuehl" w:hAnsi="FrankRuehl"/>
          <w:sz w:val="28"/>
          <w:rtl w:val="true"/>
        </w:rPr>
        <w:t xml:space="preserve">.  </w:t>
      </w:r>
    </w:p>
    <w:p>
      <w:pPr>
        <w:pStyle w:val="Ruller41"/>
        <w:ind w:start="793" w:end="142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 xml:space="preserve">אשר לנסיבות הקשורות בביצוע העבירה </w:t>
      </w:r>
      <w:r>
        <w:rPr>
          <w:rFonts w:cs="FrankRuehl" w:ascii="FrankRuehl" w:hAnsi="FrankRuehl"/>
          <w:sz w:val="28"/>
          <w:rtl w:val="true"/>
        </w:rPr>
        <w:t>(</w:t>
      </w:r>
      <w:hyperlink r:id="rId19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40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ט</w:t>
        </w:r>
      </w:hyperlink>
      <w:r>
        <w:rPr>
          <w:rFonts w:ascii="FrankRuehl" w:hAnsi="FrankRuehl"/>
          <w:sz w:val="28"/>
          <w:sz w:val="28"/>
          <w:rtl w:val="true"/>
        </w:rPr>
        <w:t xml:space="preserve"> לחוק</w:t>
      </w:r>
      <w:r>
        <w:rPr>
          <w:rFonts w:cs="FrankRuehl" w:ascii="FrankRuehl" w:hAnsi="FrankRuehl"/>
          <w:sz w:val="28"/>
          <w:rtl w:val="true"/>
        </w:rPr>
        <w:t xml:space="preserve">), </w:t>
      </w:r>
      <w:r>
        <w:rPr>
          <w:rFonts w:ascii="FrankRuehl" w:hAnsi="FrankRuehl"/>
          <w:sz w:val="28"/>
          <w:sz w:val="28"/>
          <w:rtl w:val="true"/>
        </w:rPr>
        <w:t>חשוב לציין כי מדובר במעשים מחושבים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המחסנית הייתה בתוך האקדח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הנאשם שידע על הפסול במעשיו דאג להחביאו מתחת לבגדיו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מיותר לציין כפי שתואר לעיל בפסקי הדין של בית המשפט העליון כי בעבירות של החזקת נשק טמון פוטנציאל גדול מאוד לגרימת נזק משמעותי לחברה ולביטחונה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1"/>
        <w:ind w:start="793" w:end="142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ascii="FrankRuehl" w:hAnsi="FrankRuehl"/>
          <w:sz w:val="28"/>
          <w:sz w:val="28"/>
          <w:rtl w:val="true"/>
        </w:rPr>
        <w:t>בהתחשב בערכים החברתיים שנפגעו מביצוע העבירות במידת הפגיעה בהם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במדיניות הענישה הנהוגה ובנסיבות הקשורות בביצוע העבירה אני קובע כי העונש ההולם במקרה זה הוא מאסר במתחם שבין </w:t>
      </w:r>
      <w:r>
        <w:rPr>
          <w:rFonts w:cs="FrankRuehl" w:ascii="FrankRuehl" w:hAnsi="FrankRuehl"/>
          <w:sz w:val="28"/>
          <w:u w:val="single"/>
        </w:rPr>
        <w:t>12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לבין </w:t>
      </w:r>
      <w:r>
        <w:rPr>
          <w:rFonts w:cs="FrankRuehl" w:ascii="FrankRuehl" w:hAnsi="FrankRuehl"/>
          <w:sz w:val="28"/>
          <w:u w:val="single"/>
        </w:rPr>
        <w:t>36</w:t>
      </w:r>
      <w:r>
        <w:rPr>
          <w:rFonts w:cs="FrankRuehl" w:ascii="FrankRuehl" w:hAnsi="FrankRuehl"/>
          <w:sz w:val="28"/>
          <w:u w:val="single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חודשי מאסר בפועל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u w:val="single"/>
        </w:rPr>
      </w:pPr>
      <w:r>
        <w:rPr>
          <w:rFonts w:cs="FrankRuehl" w:ascii="FrankRuehl" w:hAnsi="FrankRuehl"/>
          <w:sz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העונש המתאים</w:t>
      </w:r>
    </w:p>
    <w:p>
      <w:pPr>
        <w:pStyle w:val="3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 עומד על הפרק הליך שיקומי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 המבחן לא מצא כי ניתן להמליץ במקרה זה המלצה טיפולית ולכן העונש המתאים יהיה בתוך 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3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3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זה השלב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להבהיר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בשני פסקי הדין של בית המשפט העליון אליהם הפנה הסנגור ענין חשיבון וענין סלימאן הוחלט על ענישה שמ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חוץ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למתחם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העונש ההולם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 שיקולי שיקום שלא מתקיימים במקרה זה</w:t>
      </w:r>
      <w:r>
        <w:rPr>
          <w:rFonts w:cs="FrankRuehl" w:ascii="FrankRuehl" w:hAnsi="FrankRuehl"/>
          <w:sz w:val="28"/>
          <w:szCs w:val="28"/>
          <w:rtl w:val="true"/>
        </w:rPr>
        <w:t>].</w:t>
      </w:r>
    </w:p>
    <w:p>
      <w:pPr>
        <w:pStyle w:val="3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 xml:space="preserve">לעניין הנסיבות שאינן קשורות בביצוע העבירה לפי </w:t>
      </w:r>
      <w:hyperlink r:id="rId20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40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לחוק</w:t>
      </w:r>
      <w:r>
        <w:rPr>
          <w:rFonts w:cs="FrankRuehl" w:ascii="FrankRuehl" w:hAnsi="FrankRuehl"/>
          <w:sz w:val="28"/>
          <w:rtl w:val="true"/>
        </w:rPr>
        <w:t xml:space="preserve">,  </w:t>
      </w:r>
      <w:r>
        <w:rPr>
          <w:rFonts w:ascii="FrankRuehl" w:hAnsi="FrankRuehl"/>
          <w:sz w:val="28"/>
          <w:sz w:val="28"/>
          <w:rtl w:val="true"/>
        </w:rPr>
        <w:t xml:space="preserve">הנאשם ובני משפחתו לרבות שני ילדיו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 xml:space="preserve">בני </w:t>
      </w:r>
      <w:r>
        <w:rPr>
          <w:rFonts w:cs="FrankRuehl" w:ascii="FrankRuehl" w:hAnsi="FrankRuehl"/>
          <w:sz w:val="28"/>
        </w:rPr>
        <w:t>4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ו</w:t>
      </w:r>
      <w:r>
        <w:rPr>
          <w:rFonts w:cs="FrankRuehl" w:ascii="FrankRuehl" w:hAnsi="FrankRuehl"/>
          <w:sz w:val="28"/>
          <w:rtl w:val="true"/>
        </w:rPr>
        <w:t>-</w:t>
      </w:r>
      <w:r>
        <w:rPr>
          <w:rFonts w:cs="FrankRuehl" w:ascii="FrankRuehl" w:hAnsi="FrankRuehl"/>
          <w:sz w:val="28"/>
        </w:rPr>
        <w:t>6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שנים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ascii="FrankRuehl" w:hAnsi="FrankRuehl"/>
          <w:sz w:val="28"/>
          <w:sz w:val="28"/>
          <w:rtl w:val="true"/>
        </w:rPr>
        <w:t>ייפגעו קשות מעצם שהייתו בבית סוהר</w:t>
      </w:r>
      <w:r>
        <w:rPr>
          <w:rFonts w:cs="FrankRuehl" w:ascii="FrankRuehl" w:hAnsi="FrankRuehl"/>
          <w:sz w:val="28"/>
          <w:rtl w:val="true"/>
        </w:rPr>
        <w:t xml:space="preserve">.  </w:t>
      </w:r>
      <w:r>
        <w:rPr>
          <w:rFonts w:ascii="FrankRuehl" w:hAnsi="FrankRuehl"/>
          <w:sz w:val="28"/>
          <w:sz w:val="28"/>
          <w:rtl w:val="true"/>
        </w:rPr>
        <w:t>הנאשם נטל אחריות מלאה והודה במיוחס לו לאחר השלמת ההליכים המקדמיים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עוד אזקוף לזכותו את הבע</w:t>
      </w:r>
      <w:r>
        <w:rPr>
          <w:rFonts w:ascii="FrankRuehl" w:hAnsi="FrankRuehl"/>
          <w:sz w:val="28"/>
          <w:sz w:val="28"/>
          <w:rtl w:val="true"/>
        </w:rPr>
        <w:t>ת</w:t>
      </w:r>
      <w:r>
        <w:rPr>
          <w:rFonts w:ascii="FrankRuehl" w:hAnsi="FrankRuehl"/>
          <w:sz w:val="28"/>
          <w:sz w:val="28"/>
          <w:rtl w:val="true"/>
        </w:rPr>
        <w:t xml:space="preserve"> החרטה ואת העדר עבר פלילי</w:t>
      </w:r>
      <w:r>
        <w:rPr>
          <w:rFonts w:cs="FrankRuehl" w:ascii="FrankRuehl" w:hAnsi="FrankRuehl"/>
          <w:sz w:val="28"/>
          <w:rtl w:val="true"/>
        </w:rPr>
        <w:t xml:space="preserve">.   </w:t>
      </w:r>
      <w:r>
        <w:rPr>
          <w:rFonts w:ascii="FrankRuehl" w:hAnsi="FrankRuehl"/>
          <w:sz w:val="28"/>
          <w:sz w:val="28"/>
          <w:rtl w:val="true"/>
        </w:rPr>
        <w:t>נתונים אלו ביחד עם נסיבותיו האישיים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משפחתו התומכת והתנהגותו הנורמטיבית עד לביצוע העבירה מצדיקים העמדת עונשו בחלק התחתון של מתחם העונש ההולם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color w:val="FF0000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 xml:space="preserve">בנוסף אני סבור כי יש צורך  בהרתעת הרבים מפני ביצוע עבירות בנשק מסוג העבירה שביצע הנאשם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 xml:space="preserve">לפי </w:t>
      </w:r>
      <w:hyperlink r:id="rId21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40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ז</w:t>
        </w:r>
      </w:hyperlink>
      <w:r>
        <w:rPr>
          <w:rFonts w:ascii="FrankRuehl" w:hAnsi="FrankRuehl"/>
          <w:sz w:val="28"/>
          <w:sz w:val="28"/>
          <w:rtl w:val="true"/>
        </w:rPr>
        <w:t xml:space="preserve"> לחוק</w:t>
      </w:r>
      <w:r>
        <w:rPr>
          <w:rFonts w:cs="FrankRuehl" w:ascii="FrankRuehl" w:hAnsi="FrankRuehl"/>
          <w:sz w:val="28"/>
          <w:rtl w:val="true"/>
        </w:rPr>
        <w:t xml:space="preserve">)  </w:t>
      </w:r>
      <w:r>
        <w:rPr>
          <w:rFonts w:ascii="FrankRuehl" w:hAnsi="FrankRuehl"/>
          <w:sz w:val="28"/>
          <w:sz w:val="28"/>
          <w:rtl w:val="true"/>
        </w:rPr>
        <w:t>וכי יש סיכוי של ממש שהחמרה בעונשו של הנאשם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הן בעונש המאסר בפועל והן בעונש המאסר על תנאי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תביא להרתעת הרבים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במיוחד בימים אלו שהעבירות בנשק הפכו לעבירות נפוצות מאוד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ראו לעניין זה פסק דינו של השופט יוסף אלרון ב</w:t>
      </w:r>
      <w:hyperlink r:id="rId22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4406/19</w:t>
        </w:r>
      </w:hyperlink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4411/19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4418/19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cs="FrankRuehl" w:ascii="FrankRuehl" w:hAnsi="FrankRuehl"/>
          <w:sz w:val="28"/>
        </w:rPr>
        <w:t>4439/19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מדינת ישראל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סובח</w:t>
      </w:r>
      <w:r>
        <w:rPr>
          <w:rFonts w:ascii="FrankRuehl" w:hAnsi="FrankRuehl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5.11.2019</w:t>
      </w:r>
      <w:r>
        <w:rPr>
          <w:rFonts w:cs="FrankRuehl" w:ascii="FrankRuehl" w:hAnsi="FrankRuehl"/>
          <w:sz w:val="28"/>
          <w:rtl w:val="true"/>
        </w:rPr>
        <w:t xml:space="preserve">) </w:t>
      </w:r>
      <w:r>
        <w:rPr>
          <w:rFonts w:ascii="FrankRuehl" w:hAnsi="FrankRuehl"/>
          <w:sz w:val="28"/>
          <w:sz w:val="28"/>
          <w:rtl w:val="true"/>
        </w:rPr>
        <w:t xml:space="preserve">לפיו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FrankRuehl" w:hAnsi="FrankRuehl"/>
          <w:sz w:val="28"/>
          <w:sz w:val="28"/>
          <w:rtl w:val="true"/>
        </w:rPr>
        <w:t>על רקע המציאות אותה אנו חווים למרבה הצער מדי יום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FrankRuehl" w:ascii="FrankRuehl" w:hAnsi="FrankRuehl"/>
          <w:sz w:val="28"/>
          <w:rtl w:val="true"/>
        </w:rPr>
        <w:t xml:space="preserve">" </w:t>
      </w:r>
      <w:r>
        <w:rPr>
          <w:rFonts w:ascii="FrankRuehl" w:hAnsi="FrankRuehl"/>
          <w:sz w:val="28"/>
          <w:sz w:val="28"/>
          <w:rtl w:val="true"/>
        </w:rPr>
        <w:t>ובהמשך קובע כי יש לנקוט במדיניות ענישה מחמירה גם כלפי ביצוע עבירות החזקת נשק שלא כדין</w:t>
      </w:r>
      <w:r>
        <w:rPr>
          <w:rFonts w:cs="FrankRuehl" w:ascii="FrankRuehl" w:hAnsi="FrankRuehl"/>
          <w:sz w:val="28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כב</w:t>
      </w:r>
      <w:r>
        <w:rPr>
          <w:rFonts w:cs="FrankRuehl" w:ascii="FrankRuehl" w:hAnsi="FrankRuehl"/>
          <w:sz w:val="28"/>
          <w:rtl w:val="true"/>
        </w:rPr>
        <w:t xml:space="preserve">'  </w:t>
      </w:r>
      <w:r>
        <w:rPr>
          <w:rFonts w:ascii="FrankRuehl" w:hAnsi="FrankRuehl"/>
          <w:sz w:val="28"/>
          <w:sz w:val="28"/>
          <w:rtl w:val="true"/>
        </w:rPr>
        <w:t>השופט  מזוז הצטרף והוסיף כך</w:t>
      </w:r>
      <w:r>
        <w:rPr>
          <w:rFonts w:cs="FrankRuehl" w:ascii="FrankRuehl" w:hAnsi="FrankRuehl"/>
          <w:sz w:val="28"/>
          <w:rtl w:val="true"/>
        </w:rPr>
        <w:t>:</w:t>
      </w:r>
    </w:p>
    <w:p>
      <w:pPr>
        <w:pStyle w:val="Normal"/>
        <w:ind w:start="1440" w:end="567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היא התשתית 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הגורם בלעדו איין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 (</w:t>
      </w:r>
      <w:r>
        <w:rPr>
          <w:rFonts w:cs="FrankRuehl" w:ascii="FrankRuehl" w:hAnsi="FrankRuehl"/>
          <w:spacing w:val="10"/>
          <w:sz w:val="28"/>
          <w:szCs w:val="28"/>
        </w:rPr>
        <w:t>causa sine qua non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למגוון רחב של עבירות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החל בעבירות איומים ושוד מזוין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המשך בעבירות גרימת חבלה חמורה וכלה בעבירות המתה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לעתים קרובות הנשק הבלתי חוקי נרכש מלכתחילה למטרות עבירה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ואף אם הנשק נרכש למטרות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הגנה עצמית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הזמינות של הנשק מעודדת את השימוש בו לביצוע עבירות שונות ולחרפת תוצאותיהן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ind w:start="1440" w:end="567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ind w:start="1440" w:end="567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כן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המאבק בתופעות האלימות החמורות בחברה הישראלית בהן נעשה שימוש בנשק מחייב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מעבר למאמץ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לשים יד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כלי הנשק הבלתי חוקיים הרבים שבידי הציבור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גם ענישה מחמירה ומרתיעה בעבירות נשק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לרבות על עצם החזקה או רכישה שלא כדין של נשק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start="1440" w:end="567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ind w:start="1440" w:end="567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בבחינת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ייבוש הביצה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המשמשת ערס לגידולן של תופעות אלה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מהלך כזה מחייב הירתמות גם של בתי המשפט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ידי ענישה מחמירה ומרתיעה לעבירות נשק בלתי חוקי באשר הן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וכל שכן מקום שנעשה בנשק כזה שימוש בביצוע עבירות אלימות לסוגיהן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firstLine="720" w:start="1440" w:end="567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 xml:space="preserve">בעת קביעת משך המאסר בפועל לקחתי בחשבון את העובדה כי מיום </w:t>
      </w:r>
      <w:r>
        <w:rPr>
          <w:rFonts w:cs="FrankRuehl" w:ascii="FrankRuehl" w:hAnsi="FrankRuehl"/>
          <w:sz w:val="28"/>
        </w:rPr>
        <w:t>9.1.2019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ועד ליום </w:t>
      </w:r>
      <w:r>
        <w:rPr>
          <w:rFonts w:cs="FrankRuehl" w:ascii="FrankRuehl" w:hAnsi="FrankRuehl"/>
          <w:sz w:val="28"/>
        </w:rPr>
        <w:t>16.6.2019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הנאשם היה עצור באזוק אלקטרוני</w:t>
      </w:r>
      <w:r>
        <w:rPr>
          <w:rFonts w:cs="FrankRuehl" w:ascii="FrankRuehl" w:hAnsi="FrankRuehl"/>
          <w:sz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color w:val="FF0000"/>
          <w:sz w:val="28"/>
        </w:rPr>
      </w:pPr>
      <w:r>
        <w:rPr>
          <w:rFonts w:cs="FrankRuehl" w:ascii="FrankRuehl" w:hAnsi="FrankRuehl"/>
          <w:color w:val="FF0000"/>
          <w:sz w:val="28"/>
          <w:rtl w:val="true"/>
        </w:rPr>
      </w:r>
    </w:p>
    <w:p>
      <w:pPr>
        <w:pStyle w:val="Normal"/>
        <w:spacing w:lineRule="auto" w:line="360" w:before="0" w:after="0"/>
        <w:ind w:firstLine="360" w:start="360" w:end="0"/>
        <w:contextualSpacing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סיכום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לאור אמור לעיל אני דן את הנאשם לעונשים הבאים</w:t>
      </w:r>
      <w:r>
        <w:rPr>
          <w:rFonts w:cs="FrankRuehl" w:ascii="FrankRuehl" w:hAnsi="FrankRuehl"/>
          <w:sz w:val="28"/>
          <w:rtl w:val="true"/>
        </w:rPr>
        <w:t>:</w:t>
      </w:r>
    </w:p>
    <w:p>
      <w:pPr>
        <w:pStyle w:val="2"/>
        <w:numPr>
          <w:ilvl w:val="0"/>
          <w:numId w:val="1"/>
        </w:numPr>
        <w:spacing w:lineRule="auto" w:line="360"/>
        <w:ind w:hanging="360" w:start="7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u w:val="single"/>
        </w:rPr>
        <w:t>12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 בניכוי ימי 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מיום  </w:t>
      </w:r>
      <w:r>
        <w:rPr>
          <w:rFonts w:cs="FrankRuehl" w:ascii="FrankRuehl" w:hAnsi="FrankRuehl"/>
          <w:sz w:val="28"/>
          <w:szCs w:val="28"/>
        </w:rPr>
        <w:t>6.12.2018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ועד ליום </w:t>
      </w:r>
      <w:r>
        <w:rPr>
          <w:rFonts w:cs="FrankRuehl" w:ascii="FrankRuehl" w:hAnsi="FrankRuehl"/>
          <w:sz w:val="28"/>
          <w:szCs w:val="28"/>
        </w:rPr>
        <w:t>9.1.2019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2"/>
        <w:numPr>
          <w:ilvl w:val="0"/>
          <w:numId w:val="1"/>
        </w:numPr>
        <w:spacing w:lineRule="auto" w:line="360"/>
        <w:ind w:hanging="360" w:start="78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u w:val="single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על 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לא יישא את עונש המאסר על  תנאי אלא אם יעבור תוך שלוש שנים מיום שחרורו ממאסר עבירה בנשק ויורשע בשל עבירה כזאת תוך תקופת התנאי או לאחריה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80" w:end="0"/>
        <w:jc w:val="both"/>
        <w:rPr>
          <w:rFonts w:ascii="FrankRuehl" w:hAnsi="FrankRuehl" w:cs="FrankRuehl"/>
          <w:sz w:val="28"/>
        </w:rPr>
      </w:pPr>
      <w:r>
        <w:rPr>
          <w:rFonts w:ascii="FrankRuehl" w:hAnsi="FrankRuehl"/>
          <w:sz w:val="28"/>
          <w:sz w:val="28"/>
          <w:rtl w:val="true"/>
        </w:rPr>
        <w:t>בהתחשב בתקופת המאסר לא מצאתי לנכון להטיל על הנאשם קנס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הנאשם יתייצב למאסרו בבית סוהר ימ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 קישון ביום </w:t>
      </w:r>
      <w:r>
        <w:rPr>
          <w:rFonts w:cs="FrankRuehl" w:ascii="FrankRuehl" w:hAnsi="FrankRuehl"/>
          <w:sz w:val="28"/>
          <w:szCs w:val="28"/>
        </w:rPr>
        <w:t>22.12.19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עד השעה </w:t>
      </w:r>
      <w:r>
        <w:rPr>
          <w:rFonts w:cs="FrankRuehl" w:ascii="FrankRuehl" w:hAnsi="FrankRuehl"/>
          <w:sz w:val="28"/>
          <w:szCs w:val="28"/>
        </w:rPr>
        <w:t>10:00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על פי החלטת שב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כשברשותו תעודת זהות או דרכון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על הנאשם לתאם את הכניסה למאסר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כולל האפשרות למיון מוקדם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ענף אבחון ומיון של שב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טלפונים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cs="FrankRuehl" w:ascii="FrankRuehl" w:hAnsi="FrankRuehl"/>
          <w:sz w:val="28"/>
          <w:szCs w:val="28"/>
        </w:rPr>
        <w:t>08-9787377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08-9787336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המזכירות תשלח העתק מגזר הדין לשירות המבחן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זכות ערעור לבית המשפט העליון תוך </w:t>
      </w:r>
      <w:r>
        <w:rPr>
          <w:rFonts w:cs="FrankRuehl" w:ascii="FrankRuehl" w:hAnsi="FrankRuehl"/>
          <w:sz w:val="28"/>
          <w:szCs w:val="28"/>
          <w:u w:val="single"/>
        </w:rPr>
        <w:t>45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יום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bookmarkStart w:id="11" w:name="Nitan"/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 חשוון תש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נובמבר </w:t>
      </w:r>
      <w:r>
        <w:rPr>
          <w:rFonts w:cs="FrankRuehl" w:ascii="FrankRuehl" w:hAnsi="FrankRuehl"/>
          <w:sz w:val="28"/>
          <w:szCs w:val="28"/>
        </w:rPr>
        <w:t>2019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בנוכחות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 טל עופר</w:t>
      </w:r>
      <w:r>
        <w:rPr>
          <w:rFonts w:cs="FrankRuehl" w:ascii="FrankRuehl" w:hAnsi="FrankRuehl"/>
          <w:sz w:val="28"/>
          <w:szCs w:val="28"/>
          <w:rtl w:val="true"/>
        </w:rPr>
        <w:t xml:space="preserve">,         </w:t>
      </w:r>
      <w:bookmarkEnd w:id="11"/>
      <w:r>
        <w:rPr>
          <w:rFonts w:ascii="FrankRuehl" w:hAnsi="FrankRuehl" w:cs="FrankRuehl"/>
          <w:sz w:val="28"/>
          <w:sz w:val="28"/>
          <w:szCs w:val="28"/>
          <w:rtl w:val="true"/>
        </w:rPr>
        <w:t>הסנגור עו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 אלבר והנאשם בעצמו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</w:t>
      </w:r>
      <w:r>
        <w:rPr>
          <w:rFonts w:cs="FrankRuehl" w:ascii="FrankRuehl" w:hAnsi="FrankRuehl"/>
          <w:sz w:val="28"/>
          <w:szCs w:val="28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36698-12-18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שייח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סלימאן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2">
    <w:name w:val="WW8Num1z2"/>
    <w:qFormat/>
    <w:rPr>
      <w:rFonts w:ascii="Arial" w:hAnsi="Arial" w:eastAsia="Times New Roman" w:cs="FrankRueh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Arial" w:hAnsi="Arial" w:cs="FrankRuehl"/>
      <w:szCs w:val="28"/>
    </w:rPr>
  </w:style>
  <w:style w:type="paragraph" w:styleId="Ruller41">
    <w:name w:val="Ruller4"/>
    <w:basedOn w:val="Normal"/>
    <w:qFormat/>
    <w:pPr>
      <w:overflowPunct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2">
    <w:name w:val="פיסקת רשימה2"/>
    <w:basedOn w:val="Normal"/>
    <w:qFormat/>
    <w:pPr>
      <w:spacing w:before="0" w:after="0"/>
      <w:ind w:hanging="0" w:start="720" w:end="0"/>
      <w:contextualSpacing/>
    </w:pPr>
    <w:rPr/>
  </w:style>
  <w:style w:type="paragraph" w:styleId="3">
    <w:name w:val="פיסקת רשימה3"/>
    <w:basedOn w:val="Normal"/>
    <w:qFormat/>
    <w:pPr>
      <w:spacing w:before="0" w:after="0"/>
      <w:ind w:hanging="0" w:start="720" w:end="0"/>
      <w:contextualSpacing/>
    </w:pPr>
    <w:rPr/>
  </w:style>
  <w:style w:type="paragraph" w:styleId="Ruller3">
    <w:name w:val="Ruller 3"/>
    <w:basedOn w:val="Normal"/>
    <w:qFormat/>
    <w:pPr>
      <w:overflowPunct w:val="false"/>
      <w:spacing w:lineRule="auto" w:line="360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g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b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case/22006503" TargetMode="External"/><Relationship Id="rId13" Type="http://schemas.openxmlformats.org/officeDocument/2006/relationships/hyperlink" Target="http://www.nevo.co.il/case/21474168" TargetMode="External"/><Relationship Id="rId14" Type="http://schemas.openxmlformats.org/officeDocument/2006/relationships/hyperlink" Target="http://www.nevo.co.il/case/13093744" TargetMode="External"/><Relationship Id="rId15" Type="http://schemas.openxmlformats.org/officeDocument/2006/relationships/hyperlink" Target="http://www.nevo.co.il/case/7791493" TargetMode="External"/><Relationship Id="rId16" Type="http://schemas.openxmlformats.org/officeDocument/2006/relationships/hyperlink" Target="http://www.nevo.co.il/case/16944929" TargetMode="External"/><Relationship Id="rId17" Type="http://schemas.openxmlformats.org/officeDocument/2006/relationships/hyperlink" Target="http://www.nevo.co.il/case/23233955" TargetMode="External"/><Relationship Id="rId18" Type="http://schemas.openxmlformats.org/officeDocument/2006/relationships/hyperlink" Target="http://www.nevo.co.il/case/7791493" TargetMode="External"/><Relationship Id="rId19" Type="http://schemas.openxmlformats.org/officeDocument/2006/relationships/hyperlink" Target="http://www.nevo.co.il/law/70301/40i" TargetMode="External"/><Relationship Id="rId20" Type="http://schemas.openxmlformats.org/officeDocument/2006/relationships/hyperlink" Target="http://www.nevo.co.il/law/70301/40ja" TargetMode="External"/><Relationship Id="rId21" Type="http://schemas.openxmlformats.org/officeDocument/2006/relationships/hyperlink" Target="http://www.nevo.co.il/law/70301/40g" TargetMode="External"/><Relationship Id="rId22" Type="http://schemas.openxmlformats.org/officeDocument/2006/relationships/hyperlink" Target="http://www.nevo.co.il/case/25824863" TargetMode="External"/><Relationship Id="rId23" Type="http://schemas.openxmlformats.org/officeDocument/2006/relationships/hyperlink" Target="http://www.nevo.co.il/advertisements/nevo-100.doc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2019-11-24T12:19:00Z</dcterms:created>
  <dc:creator> </dc:creator>
  <dc:description/>
  <cp:keywords/>
  <dc:language>en-IL</dc:language>
  <cp:lastModifiedBy>h10</cp:lastModifiedBy>
  <dcterms:modified xsi:type="dcterms:W3CDTF">2019-11-24T12:19:00Z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שייח' סלימאן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22006503;21474168;13093744;7791493:2;16944929;23233955;25824863</vt:lpwstr>
  </property>
  <property fmtid="{D5CDD505-2E9C-101B-9397-08002B2CF9AE}" pid="9" name="CITY">
    <vt:lpwstr>חי'</vt:lpwstr>
  </property>
  <property fmtid="{D5CDD505-2E9C-101B-9397-08002B2CF9AE}" pid="10" name="DATE">
    <vt:lpwstr>20191119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אליקים</vt:lpwstr>
  </property>
  <property fmtid="{D5CDD505-2E9C-101B-9397-08002B2CF9AE}" pid="14" name="LAWLISTTMP1">
    <vt:lpwstr>70301/144.a:2;040b;040i;40ja;040g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36698</vt:lpwstr>
  </property>
  <property fmtid="{D5CDD505-2E9C-101B-9397-08002B2CF9AE}" pid="22" name="NEWPARTB">
    <vt:lpwstr>12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390020191119</vt:lpwstr>
  </property>
  <property fmtid="{D5CDD505-2E9C-101B-9397-08002B2CF9AE}" pid="34" name="TYPE_N_DATE">
    <vt:lpwstr>39020191119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