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36704-02-22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סלאימה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ind w:end="0"/>
              <w:jc w:val="end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מרץ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2023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חנא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סבאג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סלאימה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מוסטפא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שלאלדה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29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  <w:sz w:val="28"/>
          <w:szCs w:val="28"/>
          <w:lang w:val="en-US" w:eastAsia="en-US"/>
        </w:rPr>
      </w:pPr>
      <w:r>
        <w:rPr>
          <w:rFonts w:cs="David" w:ascii="David" w:hAnsi="David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bookmarkStart w:id="8" w:name="ABSTRACT_START"/>
      <w:bookmarkEnd w:id="8"/>
      <w:r>
        <w:rPr>
          <w:rFonts w:ascii="Miriam" w:hAnsi="Miriam" w:cs="Miriam"/>
          <w:rtl w:val="true"/>
        </w:rPr>
        <w:t>הרקע וכתב האישום המתוקן</w:t>
      </w:r>
    </w:p>
    <w:p>
      <w:pPr>
        <w:pStyle w:val="Normal"/>
        <w:tabs>
          <w:tab w:val="clear" w:pos="720"/>
          <w:tab w:val="left" w:pos="680" w:leader="none"/>
        </w:tabs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normal-h"/>
          <w:rFonts w:ascii="FrankRuehl" w:hAnsi="FrankRuehl" w:cs="FrankRuehl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הנאשמים הורשעו על יסוד הודאתם בכתב אישום שתוקן ביום </w:t>
      </w:r>
      <w:r>
        <w:rPr>
          <w:rFonts w:cs="FrankRuehl" w:ascii="FrankRuehl" w:hAnsi="FrankRuehl"/>
          <w:sz w:val="28"/>
          <w:szCs w:val="28"/>
        </w:rPr>
        <w:t>22.02.2023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הורשעו בעבירה של נשיאת נשק והובלתו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29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חוק העונשין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בעבירה של סיוע לנשיאת נשק והובלתו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עבירה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לסעיף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בצירוף </w:t>
      </w:r>
      <w:hyperlink r:id="rId14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31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הסדר הטיעון סוכם כי הצדדים יטענו לעונש באופן חופשי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כאשר המאשימה תטען בעניינם של נאשמים </w:t>
      </w:r>
      <w:r>
        <w:rPr>
          <w:rStyle w:val="normal-h"/>
          <w:rFonts w:cs="FrankRuehl" w:ascii="FrankRuehl" w:hAnsi="FrankRuehl"/>
          <w:sz w:val="28"/>
          <w:szCs w:val="28"/>
        </w:rPr>
        <w:t>1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Style w:val="normal-h"/>
          <w:rFonts w:cs="FrankRuehl" w:ascii="FrankRuehl" w:hAnsi="FrankRuehl"/>
          <w:sz w:val="28"/>
          <w:szCs w:val="28"/>
        </w:rPr>
        <w:t>2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לעונש של מאסר בפועל ראוי של </w:t>
      </w:r>
      <w:r>
        <w:rPr>
          <w:rStyle w:val="normal-h"/>
          <w:rFonts w:cs="FrankRuehl" w:ascii="FrankRuehl" w:hAnsi="FrankRuehl"/>
          <w:sz w:val="28"/>
          <w:szCs w:val="28"/>
        </w:rPr>
        <w:t>8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שנים ו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>-</w:t>
      </w:r>
      <w:r>
        <w:rPr>
          <w:rStyle w:val="normal-h"/>
          <w:rFonts w:cs="FrankRuehl" w:ascii="FrankRuehl" w:hAnsi="FrankRuehl"/>
          <w:sz w:val="28"/>
          <w:szCs w:val="28"/>
        </w:rPr>
        <w:t>10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ובעניינו של נאשם מס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Style w:val="normal-h"/>
          <w:rFonts w:cs="FrankRuehl" w:ascii="FrankRuehl" w:hAnsi="FrankRuehl"/>
          <w:sz w:val="28"/>
          <w:szCs w:val="28"/>
        </w:rPr>
        <w:t>3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 xml:space="preserve">לעונש ראוי של </w:t>
      </w:r>
      <w:r>
        <w:rPr>
          <w:rStyle w:val="normal-h"/>
          <w:rFonts w:cs="FrankRuehl" w:ascii="FrankRuehl" w:hAnsi="FrankRuehl"/>
          <w:sz w:val="28"/>
          <w:szCs w:val="28"/>
        </w:rPr>
        <w:t>4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שנים ו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>-</w:t>
      </w:r>
      <w:r>
        <w:rPr>
          <w:rStyle w:val="normal-h"/>
          <w:rFonts w:cs="FrankRuehl" w:ascii="FrankRuehl" w:hAnsi="FrankRuehl"/>
          <w:sz w:val="28"/>
          <w:szCs w:val="28"/>
        </w:rPr>
        <w:t>5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בעניין הכספים שנתפסו בעת מעצרם של הנאשמים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Style w:val="normal-h"/>
          <w:rFonts w:ascii="FrankRuehl" w:hAnsi="FrankRuehl" w:cs="FrankRuehl"/>
          <w:sz w:val="28"/>
          <w:sz w:val="28"/>
          <w:szCs w:val="28"/>
          <w:rtl w:val="true"/>
        </w:rPr>
        <w:t>סוכם כי המאשימה תבקש לחלט את הכספים וההגנה תבקש להתייחס אליהן כאל חלק מרכיב הקנס</w:t>
      </w:r>
      <w:r>
        <w:rPr>
          <w:rStyle w:val="normal-h"/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normal-h"/>
          <w:rFonts w:ascii="FrankRuehl" w:hAnsi="FrankRuehl" w:cs="FrankRuehl"/>
        </w:rPr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הם תושבי מזרח ירושלים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להם קיימת הכרות עם הגב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נרמין טובג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שאף היא מתגוררת במזרח ירושלים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נרמין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ונרמין קשרו קשר לקבל לרשותם כלי נשק ותחמושת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לשם הוצאת הקשר לפועל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24.1.2022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שכרה נרמין רכב מסוג סובארו 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 </w:t>
      </w:r>
      <w:r>
        <w:rPr>
          <w:rFonts w:cs="FrankRuehl" w:ascii="FrankRuehl" w:hAnsi="FrankRuehl"/>
          <w:sz w:val="28"/>
          <w:szCs w:val="28"/>
        </w:rPr>
        <w:t>2362839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הסובארו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שכר רכב מסוג קיה 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 </w:t>
      </w:r>
      <w:r>
        <w:rPr>
          <w:rFonts w:cs="FrankRuehl" w:ascii="FrankRuehl" w:hAnsi="FrankRuehl"/>
          <w:sz w:val="28"/>
          <w:szCs w:val="28"/>
        </w:rPr>
        <w:t>14984501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הקיה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ביום </w:t>
      </w:r>
      <w:r>
        <w:rPr>
          <w:rFonts w:cs="FrankRuehl" w:ascii="FrankRuehl" w:hAnsi="FrankRuehl"/>
          <w:sz w:val="28"/>
          <w:szCs w:val="28"/>
        </w:rPr>
        <w:t>25.1.2022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09:00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נסעו הנאשמים ונרמין מירושלים לכיוון צפון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נרמין נסעה ברכבה מסוג פורד פוקוס 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ר </w:t>
      </w:r>
      <w:r>
        <w:rPr>
          <w:rFonts w:cs="FrankRuehl" w:ascii="FrankRuehl" w:hAnsi="FrankRuehl"/>
          <w:sz w:val="28"/>
          <w:szCs w:val="28"/>
        </w:rPr>
        <w:t>4641314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rtl w:val="true"/>
        </w:rPr>
        <w:t>הפורד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נסעו בסובארו ונאשם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נסע בקיה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ונרמין אף הצטיידו בטלפונים ניידים מבצעיים לשם הוצאת הקשר לפועל ובזמן הנסיעה צפונה תקשרו ביניהם באמצעותם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בסמוך לשעה </w:t>
      </w:r>
      <w:r>
        <w:rPr>
          <w:rFonts w:cs="FrankRuehl" w:ascii="FrankRuehl" w:hAnsi="FrankRuehl"/>
          <w:sz w:val="28"/>
          <w:szCs w:val="28"/>
        </w:rPr>
        <w:t>11:30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הנאשמים ונרמין לאזור הסמוך לקיבוץ אשדות יעקב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שם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קיבלו לרשותם שק המכיל חמישים ושלושה כלי נשק וכן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כמפורט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 מקלע 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עם חמש מחסניות תואמות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ארבעה רובים מסוג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</w:rPr>
        <w:t>M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וארבע מחסניות תואמות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עשרה רובים מסוג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 ועשר מחסניות תואמות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שלושים ושמונה אקדחים בקוטר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מסוגים שונים ושלושים ושמונה מחסניות תואמות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1000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498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בקוטר </w:t>
      </w:r>
      <w:r>
        <w:rPr>
          <w:rFonts w:cs="FrankRuehl" w:ascii="FrankRuehl" w:hAnsi="FrankRuehl"/>
          <w:sz w:val="28"/>
          <w:szCs w:val="28"/>
        </w:rPr>
        <w:t>7.62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המהווים כולם נשק ותחמושת כהגדרת 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הניחו את השק בתא המטען של הפורד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זאת בעוד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ממתין להם בקרבת מקום ומצוי בקשר טלפוני רציף איתם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מכן החלו הנאשמים ונרמין בנסיעה בכלי הרכב חזרה לכיוון ירושלים כאשר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מוביל אתם ונוסע בקיה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ובסמוך לכך נעצרו בכביש </w:t>
      </w:r>
      <w:r>
        <w:rPr>
          <w:rFonts w:cs="FrankRuehl" w:ascii="FrankRuehl" w:hAnsi="FrankRuehl"/>
          <w:sz w:val="28"/>
          <w:szCs w:val="28"/>
        </w:rPr>
        <w:t>90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ידי בלשי משטרת ישראל והנשקים נתפסו על ידי משטרת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טיעוני הצדדים לעונש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כוח המאשימה ציינה בפתח טיעוניה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 למרבה הצער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הפכה תופעת השימוש בנשק חם למכת מדינה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בפרט בחברה הערבית ובמחוז הצפוני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במציאות הנוכחית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חפים מפשע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לרבות פעוטות וקטינים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מוצאים את מותם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כאשר כל חטאם בכך ששיחקו בגני שעשועים או שהו בביתם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הודגש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 העבריינים מסתובבים ברחובות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בשכונות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ליד בתי הספר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ופ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געים קשות בתחושת המוגנות של האזרח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תחושה זו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מביאה לכדי כרסום באמון שרוחשים האזרחים למערכת השפיטה והתביעה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היא אף גורמת בעקיפי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למרוץ חימוש ולאובדן משילות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שעה שתחושת אזרחים רבים היא שקצרה ידם של רשויות החוק מלהושיע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בעניינם של הנאשמים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הודגש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 אף אם אין מדובר בעבירות אלימות ופגיעה פיזית ישירה בקורבנות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לא ניתן להתעלם מההיקף העצום של העבירה – נשיאה והובלה של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53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כלי נשק מסוגים שונים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מדובר בנסיבה משמעותית שיש להביא בשיקולי גזר הדין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לטעמיה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אלמלא סוכלה התוכנית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הנשק היה מגיע בהכרח לידיהם של גורמים עבריינים והיה מוביל לפגיעות קשות לרבות לרציחות חפים מפשע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בא כוח המאשימה המשיכה וטענה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 נוכח עבירות הנשק אשר הפכו למכת מדינה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שגלומה בה סכנה ממשית לשלום הציבור ולביטחונו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 להטיל עונשים מרתיעים ומשמעותיים המשקפים מסר מרתיע ויש לנהוג בעניין זה כבשעת חירום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כוח המאשימה התייחסה בטיעוניה לנסיבות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שחזרה על עובדות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והדגישה כי לעבירות קדם תכנון מדוקדק – הנאשמים שכרו רכבים ורכשו טלפונים לשם מימוש התוכנית העבריינית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חלקם היחסי של הנאשמים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במהלך העבירה הינו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לגבי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הגם שיוחסה לו עבירת סיוע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הרי שהוא נטל חלק בלתי מבוטל ואף מהותי בהשלמת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הנזק שעשוי היה להיגרם הינו עצום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כמות הנשק החריגה שנתפסה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 כוח המאשימה הפנתה לצבר של פסקי דין המלמדים על מדיניות הענישה ואף לקביעת בית המשפט העליון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עונשו של בגיר ללא עבר פלילי אשר נושא אקדח במרחב הציבורי יחל מריצוי </w:t>
      </w:r>
      <w:r>
        <w:rPr>
          <w:rFonts w:cs="FrankRuehl" w:ascii="FrankRuehl" w:hAnsi="FrankRuehl"/>
          <w:sz w:val="28"/>
          <w:szCs w:val="28"/>
        </w:rPr>
        <w:t>30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היה להפנות למתחם שכזה ולהכפילו בכמות הנשקים שנתפסו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עתרה בא כח המאשימה לקבוע שמתחם העונש ההולם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b/>
          <w:bCs/>
          <w:sz w:val="28"/>
          <w:szCs w:val="28"/>
        </w:rPr>
        <w:t>8-10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שנות מאסר בעניינם של נאשמים </w:t>
      </w:r>
      <w:r>
        <w:rPr>
          <w:rFonts w:cs="FrankRuehl" w:ascii="FrankRuehl" w:hAnsi="FrankRuehl"/>
          <w:b/>
          <w:bCs/>
          <w:sz w:val="28"/>
          <w:szCs w:val="28"/>
        </w:rPr>
        <w:t>1-2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בין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4-6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שנות מאסר בעניינו של 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לצד הטלת עונשים נלווים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לעניין הנסיבות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הזכירה בא כוח המאשימה כי הנאשמים הודו וחסכו בזמן שיפוטי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היא הפנתה לגיליון הרישום הפלילי של נאשמים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וציינה כי הנאשם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יחד 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תופעת הנשק הבלתי חוקי שפשטה בציבור ולאור שיקולי הרתעת הרבים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להעביר מסר כי העיסוק בנשק יגרור תגובה עונשית הולמת וחמורה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בסיכום כל אלה ביקשה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לגזור על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עונש של 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 ועשרה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ועל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עונש של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 וחמישה חודשים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 ביקשה להטיל עליהם מאסר מותנה ממושך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וקנס משמעותי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יבטא שווים העצום של האמצעים המשחיתים שנתפסו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ביקשה המאשימה לחלט את סכומי המזומנים שנתפסו ברשות הנאשמים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sz w:val="28"/>
          <w:szCs w:val="28"/>
        </w:rPr>
      </w:pPr>
      <w:r>
        <w:rPr>
          <w:rFonts w:cs="Miriam" w:ascii="Miriam" w:hAnsi="Miriam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 כוחם של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בטיעוניו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הנאשמים הודו בהזדמנות הראשונה וחסכו זמן שיפוטי יקר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הפנה לתקופת מעצרם הממושכת וטען כי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יש להתחשב בגזר הדין בתקופה קשה זו שעברה על הנאשמים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הנאשמים מעולם לא ישבו אחר סורג ובריח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למצות עימם את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 הדגיש את עובדות כתב האישום תוך שהוא מחדד בין העבירות בהן הורשעו הנאשמים לעבירת ייבוא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כתב האישום אינו מפרט את חלקם של הנאשמים כמבצעים בצוותא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למעט נשיאת הנשק לעבר תא המטען של נרמין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 טען כי בנסיבות בהם מדובר באירוע עברייני אחד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להסכים עם המתחם לו טענה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מתחם שרלוונטי לעבירות ייבוא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הסנגור הפנה לשורה של פסקי 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המצביעים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על פי 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קביעת מתחם נמוך מזה לו טענה המאשימה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אף בנסיבות חמורות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המתחם הראוי נע בין </w:t>
      </w:r>
      <w:r>
        <w:rPr>
          <w:rFonts w:cs="FrankRuehl" w:ascii="FrankRuehl" w:hAnsi="FrankRuehl"/>
          <w:b/>
          <w:bCs/>
          <w:sz w:val="28"/>
          <w:szCs w:val="28"/>
        </w:rPr>
        <w:t>30-60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חודשי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ובנסיבות הנאשמים יש להטיל על כל אחד מהם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 וקנס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בא כוח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הפנה לאסופת פסיקה מטעמו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הדגיש אף הוא את עובדות כתב האישום ואת העובדה כי אין מדובר בריבוי עבירות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הוא הפנה להנחיית פרקליט המדינה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שסימונה </w:t>
      </w:r>
      <w:r>
        <w:rPr>
          <w:rFonts w:cs="FrankRuehl" w:ascii="FrankRuehl" w:hAnsi="FrankRuehl"/>
          <w:sz w:val="28"/>
          <w:szCs w:val="28"/>
        </w:rPr>
        <w:t>9.16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בעניין מדיניות ענישה בעבירות נשק ומטעני חבלה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 הנחיה זו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ככל וקיים קריטריון של ריבוי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נדרש מתחם הולם חמור 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שלא צוין מנגנון חישוב המתחם בנסיבות אלה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הסנגור הקפיד לציין כי כתב האישום המתוקן אינו מפרט מה היקף הסיוע של 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לטעמו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חלקו בסיוע הינו נמוך והתמצה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פתיחת ציר</w:t>
      </w:r>
      <w:r>
        <w:rPr>
          <w:rFonts w:cs="FrankRuehl" w:ascii="FrankRuehl" w:hAnsi="FrankRuehl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מה שמחייב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קביעת מתחם ענישה הנמוך ממחצית עונשם של המבצעים העיקריים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לטענתו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בקביעת הקנס אין לאמוד את שווי הנשקים שנתפסו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הנאשמים אינם סוחרי הנשק אלא לכל היותר בגדר מוביליו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>לעניין הנסיבות שאינן קשורות בביצוע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הזכיר בא כוח הנאשם כי מרשו הינו אדם 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אב לארבעה קטינים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חולק כי מאסרו יפגע פגיעה קשה במשפחתו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הודה בהזדמנות הראשונה וחסך בזמן שיפוטי יקר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עברו הפלילי מינורי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בסיכום כל אלה ביקש להטיל עליו פחות ממחצית העונש לו עתר בא כוח 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 xml:space="preserve">דברי הנאשמים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cs="Miriam" w:ascii="Miriam" w:hAnsi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כי הוא מתחרט על הטעות שעשה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מקווה לקבל הזדמנות לחזור לחייו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למשפחתו וילדיו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אף הוא דברי חרטה וצער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 כי נישא כחודשיים לפני מעצרו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להקל בעונשו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הביע צער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להקל בעונשו על מנת לשוב לחיק משפחתו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קביעת מתחם עונש הולם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pacing w:val="1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הערכים החברתיים המוגנים בקביעת האיסור בביצוע עבירות מסוג זה בהן הורשעו הנאשמים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הם ערכי ביטחון המדינה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שלום הציבור ובטחונו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הגנה על חיי אדם ועל הסדר הציבורי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חומרת עבירות אלו נעוצה בכך שלצד אותה סכנה לשלום הציבור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החזקת כלי נשק שלא כדין בידי אזרחים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זורה אימה וחרדה בציבור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מערערת את יסודות שלטון החוק וגורמי האכיפה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ומקיימת תשתית לפעילות עבריינית בתחומים שונים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בפסיקת בית המשפט העליון נקבע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במציאות הנוכחית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ראוי ונכון להחמיר את מדיניות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לעניין זה נאמר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ruller40"/>
        <w:shd w:fill="FFFFFF" w:val="clear"/>
        <w:bidi w:val="1"/>
        <w:spacing w:lineRule="atLeast" w:line="360" w:before="0" w:after="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ruller5"/>
        <w:shd w:fill="FFFFFF" w:val="clear"/>
        <w:bidi w:val="1"/>
        <w:spacing w:before="0" w:after="0"/>
        <w:ind w:start="1642"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השימוש בנשק חם ככלי ליישוב סכסוכים הפך לרעה חולה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בשנים האחרונות אף חלה עליה מתמדת במספר אירועי הירי המדווחים למשטרה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...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רקע המציאות אותה אנו חווים למרבה הצער מדי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4406/19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יונס סובח ואח</w:t>
      </w:r>
      <w:r>
        <w:rPr>
          <w:rFonts w:cs="Miriam" w:ascii="Miriam" w:hAnsi="Miriam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05.11.2019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</w:p>
    <w:p>
      <w:pPr>
        <w:pStyle w:val="ruller5"/>
        <w:shd w:fill="FFFFFF" w:val="clear"/>
        <w:bidi w:val="1"/>
        <w:spacing w:before="0" w:after="0"/>
        <w:ind w:start="1642" w:end="1282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הצורך להחמיר בענישה בא לידי ביטוי גם בכך שבחודש דצמבר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קבע המחוקק עונשי מינימום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שהעונש שיושת בגין עבירות אלו יתחיל מרבע העונש המרבי שנקבע לעבירה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אלא אם החליט בית המשפט מטעמים מיוחדים שיירשמו להקל בעונש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ז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חוק העונשין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תיקון מס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sz w:val="28"/>
          <w:szCs w:val="28"/>
        </w:rPr>
        <w:t>140</w:t>
      </w:r>
      <w:r>
        <w:rPr>
          <w:rFonts w:cs="FrankRuehl" w:ascii="FrankRuehl" w:hAnsi="FrankRuehl"/>
          <w:sz w:val="28"/>
          <w:szCs w:val="28"/>
          <w:rtl w:val="true"/>
        </w:rPr>
        <w:t xml:space="preserve"> –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הוראת שעה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תיקון החל בענייננו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הנסיבות הקשורות בביצוע העבירות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לחומרה יש להדגיש בראש ובראשונה את ההיקף העצום של כלי הנשק שנתפסו – </w:t>
      </w:r>
      <w:r>
        <w:rPr>
          <w:rFonts w:cs="FrankRuehl" w:ascii="FrankRuehl" w:hAnsi="FrankRuehl"/>
          <w:sz w:val="28"/>
          <w:szCs w:val="28"/>
        </w:rPr>
        <w:t>53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פריטים שונים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היקף חריג המשקף חומרה יתרה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בצבר של כלי נשק עוצמתיים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חלקם כלי נשק התקפיים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ארסנל של ממש הכולל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תת מקלע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ותחמושת רבה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נשקים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מסווגים בדרגת חומרה גבוהה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ליתן ביטוי גם למימד התכנון שקדם לביצוע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קשרו קשר מוקדם עם נרמין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נרמין שכרה רכב אחד ונאשם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שכר רכב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הנאשמים נסעו בשני רכבים נפרדים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הצטיידו בטלפונים ניידים מבצעיים לשם והכל על מנת להוציא את התוכנית העבריינית אל הפועל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כאשר הנאשמים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מעמיסים את שלל הנשקים לרכב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ממתין להם בקרבת מקום ומצוי בקשר טלפוני רציף איתם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56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בהתייחס לנזקים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הנזק הפוטנציאלי מביצוע העבירות הוא עצום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צבר רב של כלי נשק קטלניים היה מגיע ליד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ים בלתי מורשות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משמש לגורמים עבריינים לביצוע שלל עבירות לרבות אפשרות של קיפוח חיי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ליבוי נוסף בתבערה הגדולה שפשטה ברחובות בעת הנוכחית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מקבל בעניין זה את טענת בא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כוח הנאשם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לפיה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ההנחה כי הנשקים היו עשויים להתגלגל לכדי פגיעה בנפש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הינה טענה דמגוגית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נפסק כי חומרתן של העבירות בנשק אינה מסתכמת רק בנזק שאירע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כי אם </w:t>
      </w:r>
      <w:r>
        <w:rPr>
          <w:rFonts w:ascii="Miriam" w:hAnsi="Miriam" w:cs="Miriam"/>
          <w:rtl w:val="true"/>
        </w:rPr>
        <w:t>בפוטנציאל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הנזק הנובע מאותן עבירות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לרבות כוחו הטבעי להמית חפים מפשע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hyperlink r:id="rId1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116/13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וקנין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31.7.2013</w:t>
      </w:r>
      <w:r>
        <w:rPr>
          <w:rFonts w:cs="FrankRuehl" w:ascii="FrankRuehl" w:hAnsi="FrankRuehl"/>
          <w:sz w:val="28"/>
          <w:szCs w:val="28"/>
          <w:rtl w:val="true"/>
        </w:rPr>
        <w:t>))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firstLine="567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6"/>
          <w:szCs w:val="26"/>
        </w:rPr>
      </w:pP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 xml:space="preserve">מדיניות הענישה </w:t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  <w:b/>
          <w:bCs/>
          <w:sz w:val="26"/>
          <w:szCs w:val="26"/>
        </w:rPr>
      </w:pPr>
      <w:r>
        <w:rPr>
          <w:rFonts w:cs="Miriam" w:ascii="Miriam" w:hAnsi="Miriam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סקירת מדיניות הענישה הנהוגה מלמדת על טווח ענישה רחב התלוי לרוב בנסיבותיו של כל מקרה ומקרה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ללמוד על מדיניות הענישה הנוהגת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אפנה גם לפסיקה אשר עניינה גם בעבירות של ייבוא וסחר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בנסיבות בהן התיאור העובדתי שבכתב האישום הולם לאירועים מושא גזר דין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תוך קביעת מתחם העונש ההולם בשינויים המתחייבים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7519/08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טרבין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27.04.2009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הודאתו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בעבירות של קשירת קשר לביצוע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הסתננות ועבירות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ייבוא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בין היתר בכך שהוביל 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רובי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 ממצרים כשלכל אחד מהם מחסנית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72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כדורים ובאירוע אחר הוביל עוד 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בנוסף נעתר הנאשם להצעתו של תושב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להוביל </w:t>
      </w: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ק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 של סם מסוכן מסוג הרואין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את הסם היו אמורים הנאשם ושותף נוסף להעביר מירדן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אף חדר לשטח ישראל שלא כדין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כוונתו לחצות את הגבול עם ירדן סוכלה עקב נוכחותם של כוחות צבא באזור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הנאשם הושתו </w:t>
      </w:r>
      <w:r>
        <w:rPr>
          <w:rFonts w:cs="FrankRuehl" w:ascii="FrankRuehl" w:hAnsi="FrankRuehl"/>
          <w:b/>
          <w:bCs/>
          <w:sz w:val="28"/>
          <w:szCs w:val="28"/>
        </w:rPr>
        <w:t>11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בצירוף עונשים נלווים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37871-05-19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אבו מוך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21.10.2022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הנאשם בעבירות בנשק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ייבוא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אחר שהבריח מגבול ירדן </w:t>
      </w:r>
      <w:r>
        <w:rPr>
          <w:rFonts w:cs="FrankRuehl" w:ascii="FrankRuehl" w:hAnsi="FrankRuehl"/>
          <w:sz w:val="28"/>
          <w:szCs w:val="28"/>
        </w:rPr>
        <w:t>32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רובם 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מתחם העונש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כנע בין 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b/>
          <w:bCs/>
          <w:sz w:val="28"/>
          <w:szCs w:val="28"/>
        </w:rPr>
        <w:t>12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שנות מאסר לריצוי בפועל ודינו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של הנאשם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נגזר ל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cs="FrankRuehl" w:ascii="FrankRuehl" w:hAnsi="FrankRuehl"/>
          <w:b/>
          <w:bCs/>
          <w:sz w:val="28"/>
          <w:szCs w:val="28"/>
        </w:rPr>
        <w:t>10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2171-07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ואאל בראנסי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31.10.07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הורשע הנאשם בעבירה של הובלת כלי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ועשית עסקה שיש עמה החזקה בנשק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לפי </w:t>
      </w:r>
      <w:r>
        <w:rPr>
          <w:rFonts w:cs="FrankRuehl"/>
          <w:sz w:val="28"/>
          <w:sz w:val="28"/>
          <w:szCs w:val="28"/>
          <w:rtl w:val="true"/>
        </w:rPr>
        <w:t>סעיפים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),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  <w:r>
          <w:rPr>
            <w:rStyle w:val="Hyperlink"/>
            <w:rFonts w:cs="FrankRuehl"/>
            <w:sz w:val="28"/>
            <w:szCs w:val="28"/>
          </w:rPr>
          <w:t>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יחד עם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25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בסיוע נהג משאית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הוביל עבור בצע כסף 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רובי סער מסוג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 ו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מחסניות תואמות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גזר על הנאשם 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 על חומרת העונש נדחה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eastAsia="Calibri"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sz w:val="28"/>
          <w:sz w:val="28"/>
          <w:szCs w:val="28"/>
          <w:rtl w:val="true"/>
        </w:rPr>
        <w:t>לציין כי נהג המשאית נדון לעונש מאסר בפועל של חמש וחצי שנים</w:t>
      </w:r>
      <w:r>
        <w:rPr>
          <w:rFonts w:eastAsia="Calibri"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Calibri" w:cs="FrankRuehl"/>
          <w:sz w:val="28"/>
          <w:szCs w:val="28"/>
        </w:rPr>
      </w:pPr>
      <w:r>
        <w:rPr>
          <w:rFonts w:eastAsia="Calibri"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6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41228-03-18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cs="Miriam" w:ascii="Miriam" w:hAnsi="Miriam"/>
        </w:rPr>
        <w:t>frank</w:t>
      </w:r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פרנק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08.04.2019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בעבירות נשק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ייבוא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והובלה</w:t>
      </w:r>
      <w:r>
        <w:rPr>
          <w:rFonts w:cs="FrankRuehl" w:ascii="FrankRuehl" w:hAnsi="FrankRuehl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עבד כנהג בקונסוליה הכללית של צרפת בירושלים ובמסגרת שהותו בעזה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פגש בשלוש הזדמנויות אדם וקיבל ממנו  אקדחים עטופים בחבילה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הכניס את החבילות לתיקו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הניח את התיק בתא המטען של הרכב הקונסולרי והבריחו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הצליח להעביר בסך הכל </w:t>
      </w: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בתמורה לחלקו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קיבל הנאשם סך של </w:t>
      </w:r>
      <w:r>
        <w:rPr>
          <w:rFonts w:cs="FrankRuehl" w:ascii="FrankRuehl" w:hAnsi="FrankRuehl"/>
          <w:sz w:val="28"/>
          <w:szCs w:val="28"/>
        </w:rPr>
        <w:t>26,000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קיבל את הסדר הטיעון אליו הגיעו הצדדים לרבות העונש המוסכם וגזר על הנאשם </w:t>
      </w:r>
      <w:r>
        <w:rPr>
          <w:rFonts w:cs="FrankRuehl" w:ascii="FrankRuehl" w:hAnsi="FrankRuehl"/>
          <w:b/>
          <w:bCs/>
          <w:sz w:val="28"/>
          <w:szCs w:val="28"/>
        </w:rPr>
        <w:t>7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 בפועל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תוך שקבע כי 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העונש המוסכם בין הצדדים של שבע 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אם אינו קל בפני עצמו יש בו כדי להקל עם הנאשם ואף הקלה משמעותית</w:t>
      </w:r>
      <w:r>
        <w:rPr>
          <w:rFonts w:cs="FrankRuehl" w:ascii="FrankRuehl" w:hAnsi="FrankRuehl"/>
          <w:sz w:val="28"/>
          <w:szCs w:val="28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7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54338-03-21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נגד אבו חטאב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בעבירה של ייבוא נשק ועבירות תעבורה נוספות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מתחם עונש הולם הנע בין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בגין יבוא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כלי נשק מירדן שכללו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אקדחים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רובה צייד ורובה מסוג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וגזר על הנאשם </w:t>
      </w:r>
      <w:r>
        <w:rPr>
          <w:rFonts w:cs="FrankRuehl" w:ascii="FrankRuehl" w:hAnsi="FrankRuehl"/>
          <w:b/>
          <w:bCs/>
          <w:sz w:val="28"/>
          <w:szCs w:val="28"/>
        </w:rPr>
        <w:t>6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תוך שהוא מפעיל מאסר מותנה בן </w:t>
      </w: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מרכז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47586-11-16</w:t>
        </w:r>
      </w:hyperlink>
      <w:r>
        <w:rPr>
          <w:rFonts w:cs="Miriam" w:ascii="Miriam" w:hAnsi="Miriam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רמיל ניסנוב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13.03.2018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אליו הפנה הסנגור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הורשע הנאשם בעבירות של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נשיאת נשק ותחמושת שלא כדין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וקשירת קשר לביצוע פשע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 בהתאם להסדר טיעון בו הוסכם כי המדינה תעתור לעונש ראוי של </w:t>
      </w:r>
      <w:r>
        <w:rPr>
          <w:rFonts w:cs="FrankRuehl" w:ascii="FrankRuehl" w:hAnsi="FrankRuehl"/>
          <w:color w:val="000000"/>
          <w:sz w:val="28"/>
          <w:szCs w:val="28"/>
        </w:rPr>
        <w:t>75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הנאשם נשא והחזיק ב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color w:val="000000"/>
          <w:sz w:val="28"/>
          <w:szCs w:val="28"/>
        </w:rPr>
        <w:t>579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אקדחים מאולתרים דמוי עט בעלי קוטר של </w:t>
      </w:r>
      <w:r>
        <w:rPr>
          <w:rFonts w:cs="FrankRuehl" w:ascii="FrankRuehl" w:hAnsi="FrankRuehl"/>
          <w:color w:val="000000"/>
          <w:sz w:val="28"/>
          <w:szCs w:val="28"/>
        </w:rPr>
        <w:t>0.22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אינץ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בלבד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עבור בצע כסף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 xml:space="preserve">בית המשפט קבע מתחם ענישה הנע בין </w:t>
      </w:r>
      <w:r>
        <w:rPr>
          <w:rFonts w:cs="FrankRuehl" w:ascii="FrankRuehl" w:hAnsi="FrankRuehl"/>
          <w:color w:val="000000"/>
          <w:sz w:val="28"/>
          <w:szCs w:val="28"/>
        </w:rPr>
        <w:t>55-85</w:t>
      </w:r>
      <w:r>
        <w:rPr>
          <w:rFonts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z w:val="28"/>
          <w:sz w:val="28"/>
          <w:szCs w:val="28"/>
          <w:rtl w:val="true"/>
        </w:rPr>
        <w:t>חודשי מאסר וגזר על הנאשם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  <w:sz w:val="28"/>
          <w:szCs w:val="28"/>
        </w:rPr>
        <w:t>62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b/>
          <w:bCs/>
          <w:color w:val="00000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000000"/>
          <w:sz w:val="28"/>
          <w:szCs w:val="28"/>
        </w:rPr>
      </w:pPr>
      <w:r>
        <w:rPr>
          <w:rFonts w:cs="FrankRuehl" w:ascii="FrankRuehl" w:hAnsi="FrankRuehl"/>
          <w:color w:val="00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309/22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מדינת ישראל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חאמד ביאדסה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10.05.2022</w:t>
      </w:r>
      <w:r>
        <w:rPr>
          <w:rFonts w:cs="FrankRuehl" w:ascii="FrankRuehl" w:hAnsi="FrankRuehl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הורשע על פי הודאתו בעבירות של החזקה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נשיאה והובלה של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במקרה זה הנאשם קישט את רכבו על מנת להציג מצג שווא כאילו הרכב מיועד להסעת חתן וכלה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הנסיעה החזיק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ואחר שהיה עמו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ברובה מסוג קלצ</w:t>
      </w:r>
      <w:r>
        <w:rPr>
          <w:rFonts w:cs="FrankRuehl" w:ascii="FrankRuehl" w:hAnsi="FrankRuehl"/>
          <w:sz w:val="28"/>
          <w:szCs w:val="28"/>
          <w:rtl w:val="true"/>
        </w:rPr>
        <w:t>'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ניקוב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מחסנית תואמת לרובה ובה </w:t>
      </w:r>
      <w:r>
        <w:rPr>
          <w:rFonts w:cs="FrankRuehl" w:ascii="FrankRuehl" w:hAnsi="FrankRuehl"/>
          <w:sz w:val="28"/>
          <w:szCs w:val="28"/>
        </w:rPr>
        <w:t>29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אקדח חצי אוטומטי מסוג </w:t>
      </w:r>
      <w:r>
        <w:rPr>
          <w:rFonts w:cs="FrankRuehl" w:ascii="FrankRuehl" w:hAnsi="FrankRuehl"/>
          <w:sz w:val="28"/>
          <w:szCs w:val="28"/>
        </w:rPr>
        <w:t>Norinko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טעון במחסנית תואמת שמכילה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 וכדור נוסף בקנה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ומחסנית נוספת שמכילה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בית המשפט המחוזי קבע את מתחם הענישה </w:t>
      </w:r>
      <w:hyperlink r:id="rId30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על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54-19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וגזר את עונשו 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בית המשפט העליון קבע כי מדובר בחריגה ממדיניות הענישה והחמיר את עונשו ל</w:t>
      </w:r>
      <w:r>
        <w:rPr>
          <w:rFonts w:cs="FrankRuehl" w:ascii="FrankRuehl" w:hAnsi="FrankRuehl"/>
          <w:sz w:val="28"/>
          <w:szCs w:val="28"/>
          <w:rtl w:val="true"/>
        </w:rPr>
        <w:t xml:space="preserve">- </w:t>
      </w:r>
      <w:r>
        <w:rPr>
          <w:rFonts w:cs="FrankRuehl" w:ascii="FrankRuehl" w:hAnsi="FrankRuehl"/>
          <w:b/>
          <w:bCs/>
          <w:sz w:val="28"/>
          <w:szCs w:val="28"/>
        </w:rPr>
        <w:t>30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סיכום אלה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סבורני כי מתחם הענישה ההולם את מעשי הנאשמים </w:t>
      </w:r>
      <w:r>
        <w:rPr>
          <w:rFonts w:cs="FrankRuehl" w:ascii="FrankRuehl" w:hAnsi="FrankRuehl"/>
          <w:b/>
          <w:bCs/>
          <w:sz w:val="28"/>
          <w:szCs w:val="28"/>
        </w:rPr>
        <w:t>1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-</w:t>
      </w:r>
      <w:r>
        <w:rPr>
          <w:rFonts w:cs="FrankRuehl" w:ascii="FrankRuehl" w:hAnsi="FrankRuehl"/>
          <w:b/>
          <w:bCs/>
          <w:sz w:val="28"/>
          <w:szCs w:val="28"/>
        </w:rPr>
        <w:t>2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b/>
          <w:bCs/>
          <w:sz w:val="28"/>
          <w:szCs w:val="28"/>
        </w:rPr>
        <w:t>7-9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לצד עונשים נלווים כגון מאסר מותנה וקנס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מתחם הענישה לעבירת הסיוע בעניינו של נאשם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נע בין </w:t>
      </w:r>
      <w:r>
        <w:rPr>
          <w:rFonts w:cs="FrankRuehl" w:ascii="FrankRuehl" w:hAnsi="FrankRuehl"/>
          <w:b/>
          <w:bCs/>
          <w:sz w:val="28"/>
          <w:szCs w:val="28"/>
        </w:rPr>
        <w:t>3</w:t>
      </w:r>
      <w:r>
        <w:rPr>
          <w:rFonts w:cs="FrankRuehl" w:ascii="FrankRuehl" w:hAnsi="FrankRuehl"/>
          <w:b/>
          <w:bCs/>
          <w:sz w:val="28"/>
          <w:szCs w:val="28"/>
        </w:rPr>
        <w:t>-</w:t>
      </w:r>
      <w:r>
        <w:rPr>
          <w:rFonts w:cs="FrankRuehl" w:ascii="FrankRuehl" w:hAnsi="FrankRuehl"/>
          <w:b/>
          <w:bCs/>
          <w:sz w:val="28"/>
          <w:szCs w:val="28"/>
        </w:rPr>
        <w:t>5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שנות מאסר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Arial"/>
          <w:b/>
          <w:bCs/>
          <w:sz w:val="22"/>
          <w:szCs w:val="22"/>
        </w:rPr>
      </w:pPr>
      <w:r>
        <w:rPr>
          <w:rFonts w:cs="Arial" w:ascii="FrankRuehl" w:hAnsi="FrankRuehl"/>
          <w:b/>
          <w:bCs/>
          <w:sz w:val="22"/>
          <w:szCs w:val="22"/>
          <w:rtl w:val="true"/>
        </w:rPr>
      </w:r>
    </w:p>
    <w:p>
      <w:pPr>
        <w:pStyle w:val="Normal"/>
        <w:spacing w:lineRule="atLeast" w:line="360"/>
        <w:ind w:end="0"/>
        <w:jc w:val="both"/>
        <w:rPr>
          <w:rFonts w:ascii="FrankRuehl" w:hAnsi="FrankRuehl" w:eastAsia="Calibri" w:cs="FrankRuehl"/>
          <w:b/>
          <w:bCs/>
          <w:sz w:val="26"/>
          <w:szCs w:val="26"/>
        </w:rPr>
      </w:pPr>
      <w:r>
        <w:rPr>
          <w:rFonts w:ascii="FrankRuehl" w:hAnsi="FrankRuehl" w:cs="FrankRuehl"/>
          <w:b/>
          <w:b/>
          <w:bCs/>
          <w:sz w:val="26"/>
          <w:sz w:val="26"/>
          <w:szCs w:val="26"/>
          <w:rtl w:val="true"/>
        </w:rPr>
        <w:t>קביעת העונש בתוך המתחם</w:t>
      </w:r>
    </w:p>
    <w:p>
      <w:pPr>
        <w:pStyle w:val="Normal"/>
        <w:spacing w:lineRule="atLeast" w:line="360"/>
        <w:ind w:end="0"/>
        <w:jc w:val="both"/>
        <w:rPr>
          <w:rFonts w:ascii="Calibri" w:hAnsi="Calibri" w:eastAsia="Calibri" w:cs="Calibri"/>
          <w:b/>
          <w:bCs/>
          <w:sz w:val="27"/>
          <w:szCs w:val="27"/>
        </w:rPr>
      </w:pPr>
      <w:r>
        <w:rPr>
          <w:rFonts w:eastAsia="Calibri" w:cs="Calibri" w:ascii="Calibri" w:hAnsi="Calibri"/>
          <w:b/>
          <w:bCs/>
          <w:sz w:val="27"/>
          <w:szCs w:val="27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.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בעניינם של הנאשמים שבפני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הועלתה טענה בדבר הצדקה לחרוג מגבולות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בהינתן המתחם 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נקבע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סבור כי ניתן לגזור את עונשם בתחתית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שכן כאשר מדובר בעבירות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באיזון בין שיקולים אישיים כגון גיל צעיר או העדר עבר פלילי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לבין שיקולי הרתעה והגנה על שלום הציבור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לתת משקל מוגבר לשיקולי הרתעת הרבים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השוו </w:t>
      </w:r>
      <w:hyperlink r:id="rId31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3332/22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קוואסמי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z w:val="28"/>
          <w:szCs w:val="28"/>
        </w:rPr>
        <w:t>16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z w:val="28"/>
          <w:szCs w:val="28"/>
        </w:rPr>
        <w:t>1.12.2022</w:t>
      </w:r>
      <w:r>
        <w:rPr>
          <w:rFonts w:cs="FrankRuehl" w:ascii="FrankRuehl" w:hAnsi="FrankRuehl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מאידך יש לזקוף לזכותם את הודאתם והזמן השיפוטי היקר שנחסך וכן את העובדה כי הנאשמים נמצאים במעצר החל מינואר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הגבלה שבוודאי פגעה אף בבני משפחותיהם באופן ניכר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בגזירת עונשו של כל נאשם בתוך המתחם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פי נסיבות שאינן קשורות לביצוע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כמצוות </w:t>
      </w:r>
      <w:hyperlink r:id="rId32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40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יא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ל</w:t>
      </w:r>
      <w:hyperlink r:id="rId33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b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sz w:val="28"/>
          <w:sz w:val="28"/>
          <w:szCs w:val="28"/>
          <w:rtl w:val="true"/>
        </w:rPr>
        <w:t>יש לציין את הנתונים הבאים</w:t>
      </w:r>
      <w:r>
        <w:rPr>
          <w:rFonts w:cs="FrankRuehl" w:ascii="FrankRuehl" w:hAnsi="FrankRuehl"/>
          <w:b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מדובר באב צעיר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הרשעתו הראשונה בפלילים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יש להתחשב במצבה הרפואי של רעייתו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כפי שהשתקף מהתיעוד הרפואי שהגיש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;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לחובתו הרשעה בעבירה של אי הגשת 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מס ערך מוסף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במועד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בגינה נדון למאסר בפועל בדרך של 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נישא חודשים אחדים לפני שנעצר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ומצוי במצוקה כלכלית כפי שהשתקף מדו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 דרישת תשלום חובות מע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שהגיש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אשר לנאשם </w:t>
      </w: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בשנת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בעבירה של ניסיון להסעת תושב זר השוהה שלא כדין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בגינה נדון ל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21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מאידך יש להתחשב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בהיותו אב צעיר לארבעה ילדים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בסיכום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האמור אני סבור כי יש לקבוע את עונש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ם של הנאשמים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במחצית מתחם הענישה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סיכום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נוכח האמור לעיל אני גוזר על הנאשמים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cs="FrankRuehl" w:ascii="FrankRuehl" w:hAnsi="FrankRuehl"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בפועל של 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בניכוי ימי מעצרו החל מיום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25.01.2022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קנס בסך של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8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0,000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ח או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150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ימי מאסר תמורתו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הקנס ישולם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20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תשלומים שווים ורצופים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תשלום ראשון בעוד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ListParagraph"/>
        <w:spacing w:lineRule="auto" w:line="360" w:before="0" w:after="0"/>
        <w:ind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FrankRuehl" w:hAnsi="FrankRuehl" w:cs="FrankRuehl"/>
          <w:sz w:val="28"/>
          <w:szCs w:val="28"/>
          <w:u w:val="single"/>
        </w:rPr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בפועל של </w:t>
      </w:r>
      <w:r>
        <w:rPr>
          <w:rFonts w:cs="FrankRuehl" w:ascii="FrankRuehl" w:hAnsi="FrankRuehl"/>
          <w:b/>
          <w:bCs/>
          <w:sz w:val="28"/>
          <w:szCs w:val="28"/>
        </w:rPr>
        <w:t>8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בניכוי ימי מעצרו החל מיום </w:t>
      </w:r>
      <w:r>
        <w:rPr>
          <w:rFonts w:cs="FrankRuehl" w:ascii="FrankRuehl" w:hAnsi="FrankRuehl"/>
          <w:sz w:val="28"/>
          <w:szCs w:val="28"/>
        </w:rPr>
        <w:t>25.01.2022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קנס בסך של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8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0,000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ח או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150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ימי מאסר תמורתו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הקנס ישולם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20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תשלומים שווים ורצופים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תשלום ראשון בעוד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u w:val="single"/>
          <w:rtl w:val="true"/>
        </w:rPr>
        <w:t xml:space="preserve">נאשם </w:t>
      </w:r>
      <w:r>
        <w:rPr>
          <w:rFonts w:cs="FrankRuehl" w:ascii="FrankRuehl" w:hAnsi="FrankRuehl"/>
          <w:sz w:val="28"/>
          <w:szCs w:val="28"/>
          <w:u w:val="single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אני מטיל על הנאשם מאסר בפועל של </w:t>
      </w:r>
      <w:r>
        <w:rPr>
          <w:rFonts w:cs="FrankRuehl" w:ascii="FrankRuehl" w:hAnsi="FrankRuehl"/>
          <w:b/>
          <w:bCs/>
          <w:sz w:val="28"/>
          <w:szCs w:val="28"/>
        </w:rPr>
        <w:t>4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rtl w:val="true"/>
        </w:rPr>
        <w:t>שנים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בניכוי ימי מעצרו החל מיום </w:t>
      </w:r>
      <w:r>
        <w:rPr>
          <w:rFonts w:cs="FrankRuehl" w:ascii="FrankRuehl" w:hAnsi="FrankRuehl"/>
          <w:sz w:val="28"/>
          <w:szCs w:val="28"/>
        </w:rPr>
        <w:t>25.01.2022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פשע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מאסר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על תנאי של </w:t>
      </w: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למשך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שלא יעבור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עבירת נשק מסוג עוון</w:t>
      </w:r>
      <w:r>
        <w:rPr>
          <w:rFonts w:cs="FrankRuehl" w:ascii="FrankRuehl" w:hAnsi="FrankRuehl"/>
          <w:sz w:val="28"/>
          <w:szCs w:val="28"/>
          <w:rtl w:val="true"/>
        </w:rPr>
        <w:t>;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ind w:hanging="360" w:start="1440" w:end="0"/>
        <w:contextualSpacing/>
        <w:jc w:val="both"/>
        <w:rPr>
          <w:rFonts w:ascii="FrankRuehl" w:hAnsi="FrankRuehl" w:eastAsia="Times New Roman" w:cs="FrankRuehl"/>
          <w:spacing w:val="10"/>
          <w:sz w:val="28"/>
          <w:szCs w:val="28"/>
        </w:rPr>
      </w:pP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אני מטיל על הנאשם קנס בסך של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40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,000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ש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ח או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75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ימי מאסר תמורתו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הקנס ישולם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ב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-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20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תשלומים שווים ורצופים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 xml:space="preserve">תשלום ראשון בעוד </w:t>
      </w:r>
      <w:r>
        <w:rPr>
          <w:rFonts w:eastAsia="Times New Roman" w:cs="FrankRuehl" w:ascii="FrankRuehl" w:hAnsi="FrankRuehl"/>
          <w:spacing w:val="10"/>
          <w:sz w:val="28"/>
          <w:szCs w:val="28"/>
        </w:rPr>
        <w:t>3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eastAsia="Times New Roman" w:cs="FrankRuehl"/>
          <w:spacing w:val="10"/>
          <w:sz w:val="28"/>
          <w:sz w:val="28"/>
          <w:szCs w:val="28"/>
          <w:rtl w:val="true"/>
        </w:rPr>
        <w:t>חודשים</w:t>
      </w:r>
      <w:r>
        <w:rPr>
          <w:rFonts w:eastAsia="Times New Roman"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eastAsia="Times New Roman" w:cs="FrankRuehl"/>
          <w:spacing w:val="10"/>
          <w:sz w:val="28"/>
          <w:szCs w:val="28"/>
          <w:lang w:val="en-US" w:eastAsia="en-US"/>
        </w:rPr>
      </w:pPr>
      <w:r>
        <w:rPr>
          <w:rFonts w:eastAsia="Times New Roman" w:cs="FrankRuehl" w:ascii="FrankRuehl" w:hAnsi="FrankRuehl"/>
          <w:spacing w:val="10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lang w:val="en-US" w:eastAsia="en-US"/>
        </w:rPr>
      </w:pPr>
      <w:r>
        <w:rPr>
          <w:rFonts w:cs="FrankRuehl" w:ascii="FrankRuehl" w:hAnsi="FrankRuehl"/>
          <w:spacing w:val="10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firstLine="720" w:end="0"/>
        <w:jc w:val="both"/>
        <w:rPr>
          <w:rFonts w:ascii="Miriam" w:hAnsi="Miriam" w:cs="Miriam"/>
        </w:rPr>
      </w:pPr>
      <w:r>
        <w:rPr>
          <w:rFonts w:ascii="Miriam" w:hAnsi="Miriam" w:cs="Miriam"/>
          <w:rtl w:val="true"/>
        </w:rPr>
        <w:t>חילוט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  <w:u w:val="single"/>
        </w:rPr>
      </w:pPr>
      <w:r>
        <w:rPr>
          <w:rFonts w:cs="FrankRuehl" w:ascii="FrankRuehl" w:hAnsi="FrankRuehl"/>
          <w:spacing w:val="10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pacing w:val="10"/>
          <w:sz w:val="28"/>
          <w:szCs w:val="28"/>
        </w:rPr>
      </w:pP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במהלך מעצרם של הנאשמים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נתפסו ברשותם סכומי כסף במזומן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 הסדר הטיעון סוכם כי המאשימה תבקש לחלט את הכספים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ואילו ההגנה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תבקש לראותם כחלק מרכיב הקנס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נוכח ההנחה כי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מלבד ההוצאה הכספית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יש לחילוט כשלעצמו גם משמעות חינוכית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ראה</w:t>
      </w:r>
      <w:r>
        <w:rPr>
          <w:rFonts w:cs="FrankRuehl" w:ascii="FrankRuehl" w:hAnsi="FrankRuehl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szCs w:val="28"/>
            <w:u w:val="single"/>
          </w:rPr>
          <w:t>1161-04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Miriam" w:hAnsi="Miriam" w:cs="Miriam"/>
          <w:rtl w:val="true"/>
        </w:rPr>
        <w:t>מחמוד חאג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יחיא נ</w:t>
      </w:r>
      <w:r>
        <w:rPr>
          <w:rFonts w:cs="Miriam" w:ascii="Miriam" w:hAnsi="Miriam"/>
          <w:rtl w:val="true"/>
        </w:rPr>
        <w:t xml:space="preserve">' </w:t>
      </w:r>
      <w:r>
        <w:rPr>
          <w:rFonts w:ascii="Miriam" w:hAnsi="Miriam" w:cs="Miriam"/>
          <w:rtl w:val="true"/>
        </w:rPr>
        <w:t>מדינת ישראל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21.04.2005</w:t>
      </w:r>
      <w:r>
        <w:rPr>
          <w:rFonts w:cs="FrankRuehl" w:ascii="FrankRuehl" w:hAnsi="FrankRuehl"/>
          <w:sz w:val="28"/>
          <w:szCs w:val="28"/>
          <w:rtl w:val="true"/>
        </w:rPr>
        <w:t>)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ובנסיבות היקף העבירה שבפני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אני מוצא להורות על חילוט הכספים שנתפסו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לטובת אוצר המדינה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Arial"/>
          <w:b/>
          <w:bCs/>
          <w:spacing w:val="10"/>
          <w:sz w:val="22"/>
          <w:szCs w:val="22"/>
        </w:rPr>
      </w:pPr>
      <w:r>
        <w:rPr>
          <w:rFonts w:eastAsia="Calibri" w:cs="Arial" w:ascii="Calibri" w:hAnsi="Calibri"/>
          <w:b/>
          <w:bCs/>
          <w:spacing w:val="10"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Calibri" w:cs="Arial"/>
          <w:b/>
          <w:bCs/>
          <w:sz w:val="22"/>
          <w:szCs w:val="22"/>
        </w:rPr>
      </w:pPr>
      <w:r>
        <w:rPr>
          <w:rFonts w:eastAsia="Calibri" w:cs="Arial" w:ascii="Calibri" w:hAnsi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Fonts w:eastAsia="Calibri"/>
          <w:b/>
          <w:b/>
          <w:bCs/>
          <w:rtl w:val="true"/>
        </w:rPr>
        <w:t>לידיעת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הנאשמים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החוב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/>
          <w:bCs/>
          <w:rtl w:val="true"/>
        </w:rPr>
        <w:t>הקנס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והפיצוי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מועברים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למרכז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לגביית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קנסות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אגרות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והוצאות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ברשות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האכיפה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והגבייה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בהתאם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למועדים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והתשלומים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שקבע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בית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המשפט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ניתן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יהיה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לשלם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מיום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מתן</w:t>
      </w:r>
      <w:r>
        <w:rPr>
          <w:rFonts w:eastAsia="Times New Roman" w:cs="Times New Roman"/>
          <w:b/>
          <w:b/>
          <w:bCs/>
          <w:rtl w:val="true"/>
        </w:rPr>
        <w:t xml:space="preserve">  </w:t>
      </w:r>
      <w:r>
        <w:rPr>
          <w:rFonts w:eastAsia="Calibri"/>
          <w:b/>
          <w:b/>
          <w:bCs/>
          <w:rtl w:val="true"/>
        </w:rPr>
        <w:t>גזר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הדין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לחשבון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המרכז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לגביית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קנסות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אגרות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והוצאות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ברשות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האכיפה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והגבייה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באחת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מהדרכים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הבאות</w:t>
      </w:r>
      <w:r>
        <w:rPr>
          <w:rFonts w:eastAsia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בכרטיס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אשראי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–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באתר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המקוון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רשות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האכיפה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והגבייה</w:t>
      </w:r>
      <w:r>
        <w:rPr>
          <w:rFonts w:eastAsia="Calibri"/>
          <w:b/>
          <w:bCs/>
          <w:rtl w:val="true"/>
        </w:rPr>
        <w:t xml:space="preserve">, </w:t>
      </w:r>
      <w:hyperlink r:id="rId35">
        <w:r>
          <w:rPr>
            <w:rStyle w:val="Hyperlink"/>
            <w:rFonts w:eastAsia="Calibri" w:cs="Calibri" w:ascii="Calibri" w:hAnsi="Calibri"/>
            <w:b/>
            <w:bCs/>
            <w:i/>
            <w:iCs/>
          </w:rPr>
          <w:t>www.eca.gov.il</w:t>
        </w:r>
      </w:hyperlink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Calibri"/>
          <w:b/>
          <w:b/>
          <w:bCs/>
          <w:rtl w:val="true"/>
        </w:rPr>
        <w:t>מוקד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שירות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טלפוני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בשרות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עצמי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/>
          <w:bCs/>
          <w:rtl w:val="true"/>
        </w:rPr>
        <w:t>מרכז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גבייה</w:t>
      </w:r>
      <w:r>
        <w:rPr>
          <w:rFonts w:eastAsia="Calibri"/>
          <w:b/>
          <w:bCs/>
          <w:rtl w:val="true"/>
        </w:rPr>
        <w:t>)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 xml:space="preserve"> – </w:t>
      </w:r>
      <w:r>
        <w:rPr>
          <w:rFonts w:eastAsia="Calibri"/>
          <w:b/>
          <w:b/>
          <w:bCs/>
          <w:rtl w:val="true"/>
        </w:rPr>
        <w:t>בטלפון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35592</w:t>
      </w:r>
      <w:r>
        <w:rPr>
          <w:rFonts w:eastAsia="Calibri"/>
          <w:b/>
          <w:bCs/>
          <w:rtl w:val="true"/>
        </w:rPr>
        <w:t xml:space="preserve">* </w:t>
      </w:r>
      <w:r>
        <w:rPr>
          <w:rFonts w:eastAsia="Calibri"/>
          <w:b/>
          <w:b/>
          <w:bCs/>
          <w:rtl w:val="true"/>
        </w:rPr>
        <w:t>או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בטלפון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073-2055000</w:t>
      </w:r>
    </w:p>
    <w:p>
      <w:pPr>
        <w:pStyle w:val="Normal"/>
        <w:spacing w:lineRule="auto" w:line="360"/>
        <w:ind w:end="0"/>
        <w:jc w:val="both"/>
        <w:rPr>
          <w:sz w:val="20"/>
          <w:szCs w:val="20"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תעודת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בשוברי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/>
        <w:ind w:start="1080" w:end="0"/>
        <w:jc w:val="both"/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eastAsia="Calibri"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מהיום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1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אדר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בהעדר הצדדים</w:t>
      </w:r>
      <w:r>
        <w:rPr>
          <w:rFonts w:cs="Arial" w:ascii="Arial" w:hAnsi="Arial"/>
          <w:rtl w:val="true"/>
        </w:rPr>
        <w:t xml:space="preserve">. </w:t>
      </w:r>
      <w:bookmarkEnd w:id="11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חנא סבאג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36704-02-22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סלאימה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sz w:val="24"/>
        <w:szCs w:val="24"/>
        <w:rFonts w:ascii="David" w:hAnsi="David" w:eastAsia="David" w:cs="David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sz w:val="24"/>
        <w:szCs w:val="24"/>
        <w:rFonts w:ascii="David" w:hAnsi="David" w:eastAsia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  <w:rPr>
        <w:sz w:val="24"/>
        <w:szCs w:val="24"/>
        <w:rFonts w:ascii="David" w:hAnsi="David" w:eastAsia="David" w:cs="David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1z0">
    <w:name w:val="WW8Num1z0"/>
    <w:qFormat/>
    <w:rPr>
      <w:rFonts w:ascii="David" w:hAnsi="David" w:eastAsia="David" w:cs="David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David" w:hAnsi="David" w:eastAsia="David" w:cs="David"/>
      <w:sz w:val="24"/>
      <w:szCs w:val="24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David" w:hAnsi="David" w:eastAsia="David" w:cs="David"/>
      <w:sz w:val="24"/>
      <w:szCs w:val="24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normal-h">
    <w:name w:val="normal-h"/>
    <w:qFormat/>
    <w:rPr>
      <w:rFonts w:ascii="Times New Roman" w:hAnsi="Times New Roman" w:cs="Times New Roman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ruller40">
    <w:name w:val="ruller40"/>
    <w:basedOn w:val="Normal"/>
    <w:qFormat/>
    <w:pPr>
      <w:bidi w:val="0"/>
      <w:spacing w:before="280" w:after="280"/>
    </w:pPr>
    <w:rPr>
      <w:rFonts w:cs="Times New Roman"/>
    </w:rPr>
  </w:style>
  <w:style w:type="paragraph" w:styleId="ruller5">
    <w:name w:val="ruller5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.2" TargetMode="External"/><Relationship Id="rId8" Type="http://schemas.openxmlformats.org/officeDocument/2006/relationships/hyperlink" Target="http://www.nevo.co.il/law/70301/144.g" TargetMode="External"/><Relationship Id="rId9" Type="http://schemas.openxmlformats.org/officeDocument/2006/relationships/hyperlink" Target="http://www.nevo.co.il/law/70301/40j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law/70301/144.g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5568354" TargetMode="External"/><Relationship Id="rId19" Type="http://schemas.openxmlformats.org/officeDocument/2006/relationships/hyperlink" Target="http://www.nevo.co.il/case/5806087" TargetMode="External"/><Relationship Id="rId20" Type="http://schemas.openxmlformats.org/officeDocument/2006/relationships/hyperlink" Target="http://www.nevo.co.il/case/25701295" TargetMode="External"/><Relationship Id="rId21" Type="http://schemas.openxmlformats.org/officeDocument/2006/relationships/hyperlink" Target="http://www.nevo.co.il/case/5816167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144.b.2" TargetMode="External"/><Relationship Id="rId24" Type="http://schemas.openxmlformats.org/officeDocument/2006/relationships/hyperlink" Target="http://www.nevo.co.il/law/70301/29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23801336" TargetMode="External"/><Relationship Id="rId27" Type="http://schemas.openxmlformats.org/officeDocument/2006/relationships/hyperlink" Target="http://www.nevo.co.il/case/27500177" TargetMode="External"/><Relationship Id="rId28" Type="http://schemas.openxmlformats.org/officeDocument/2006/relationships/hyperlink" Target="http://www.nevo.co.il/case/22033945" TargetMode="External"/><Relationship Id="rId29" Type="http://schemas.openxmlformats.org/officeDocument/2006/relationships/hyperlink" Target="http://www.nevo.co.il/case/28243273" TargetMode="External"/><Relationship Id="rId30" Type="http://schemas.openxmlformats.org/officeDocument/2006/relationships/hyperlink" Target="http://www.nevo.co.il/case/25285960" TargetMode="External"/><Relationship Id="rId31" Type="http://schemas.openxmlformats.org/officeDocument/2006/relationships/hyperlink" Target="http://www.nevo.co.il/case/28614520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case/5750655" TargetMode="External"/><Relationship Id="rId35" Type="http://schemas.openxmlformats.org/officeDocument/2006/relationships/hyperlink" Target="http://www.eca.gov.il/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2024-05-05T08:34:00Z</dcterms:created>
  <dc:creator> </dc:creator>
  <dc:description/>
  <cp:keywords/>
  <dc:language>en-IL</dc:language>
  <cp:lastModifiedBy>h1</cp:lastModifiedBy>
  <dcterms:modified xsi:type="dcterms:W3CDTF">2024-05-05T08:34:00Z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מחמוד סלאימה;מוסטפא עלון;מוסטפא שלאלדה 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25824863;5568354;5806087;25701295;5816167;23801336;27500177;22033945;28243273;25285960;28614520;5750655</vt:lpwstr>
  </property>
  <property fmtid="{D5CDD505-2E9C-101B-9397-08002B2CF9AE}" pid="9" name="CITY">
    <vt:lpwstr>נצ'</vt:lpwstr>
  </property>
  <property fmtid="{D5CDD505-2E9C-101B-9397-08002B2CF9AE}" pid="10" name="DATE">
    <vt:lpwstr>20230315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חנא סבאג</vt:lpwstr>
  </property>
  <property fmtid="{D5CDD505-2E9C-101B-9397-08002B2CF9AE}" pid="14" name="LAWLISTTMP1">
    <vt:lpwstr>70301/144.b:3;029;031;144.g;144.b.2;029.b;40ja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36704</vt:lpwstr>
  </property>
  <property fmtid="{D5CDD505-2E9C-101B-9397-08002B2CF9AE}" pid="22" name="NEWPARTB">
    <vt:lpwstr>02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390020230315</vt:lpwstr>
  </property>
  <property fmtid="{D5CDD505-2E9C-101B-9397-08002B2CF9AE}" pid="34" name="TYPE_N_DATE">
    <vt:lpwstr>39020230315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