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36728-06-18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יחיאל ליפשיץ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סעיד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פאיז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334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ונשיאת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ירי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24.5.18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הודיית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שגובש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שנשמעה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חופשי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END"/>
      <w:bookmarkEnd w:id="8"/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תנאי </w:t>
      </w:r>
      <w:r>
        <w:rPr>
          <w:rFonts w:ascii="David" w:hAnsi="David"/>
          <w:rtl w:val="true"/>
        </w:rPr>
        <w:t>מתיק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לגביו נ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שיוחסה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כתב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המתוקן</w:t>
      </w:r>
      <w:r>
        <w:rPr>
          <w:rFonts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בפנצ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העסק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13:45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התפתחה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בכביש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הקטטה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שהוסתר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חולצתו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למוסטפא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ומוסטפא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משהבחין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במתלונן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יוצא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מרכבו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באזור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החניה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הסמוכה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לעסק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ניגש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אליו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יחד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אחרים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שנכחו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במקום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התקרב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אליו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באופן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מאיים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ואמר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איך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אתה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עושה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דבר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כזה</w:t>
      </w:r>
      <w:r>
        <w:rPr>
          <w:rFonts w:cs="David" w:ascii="David" w:hAnsi="David"/>
          <w:u w:val="single"/>
          <w:rtl w:val="true"/>
        </w:rPr>
        <w:t xml:space="preserve">" </w:t>
      </w:r>
      <w:r>
        <w:rPr>
          <w:rFonts w:ascii="David" w:hAnsi="David"/>
          <w:u w:val="single"/>
          <w:rtl w:val="true"/>
        </w:rPr>
        <w:t>ו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איך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אתה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נותן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לבן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אדם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ככה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מכות</w:t>
      </w:r>
      <w:r>
        <w:rPr>
          <w:rFonts w:cs="David" w:ascii="David" w:hAnsi="David"/>
          <w:u w:val="single"/>
          <w:rtl w:val="true"/>
        </w:rPr>
        <w:t xml:space="preserve">". </w:t>
      </w:r>
      <w:r>
        <w:rPr>
          <w:rFonts w:ascii="David" w:hAnsi="David"/>
          <w:u w:val="single"/>
          <w:rtl w:val="true"/>
        </w:rPr>
        <w:t>בהמשך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ובעודו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עומד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במרחק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קצר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מאוד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מהמתלונן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שלף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האקדח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וירה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כדור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אחד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בירך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רגלו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אושפז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31.5.18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334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ובנשיאת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הצדדים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i/>
          <w:i/>
          <w:iCs/>
        </w:rPr>
      </w:pP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הופעלו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וחלקן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20.7.17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i/>
          <w:i/>
          <w:iCs/>
        </w:rPr>
      </w:pPr>
      <w:r>
        <w:rPr>
          <w:rFonts w:cs="David" w:ascii="David" w:hAnsi="David"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ורכבים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i/>
          <w:i/>
          <w:iCs/>
        </w:rPr>
      </w:pPr>
      <w:r>
        <w:rPr>
          <w:rFonts w:cs="David" w:ascii="David" w:hAnsi="David"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תמצית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טיעוני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המאשימה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לפתור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ומסוכנת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לתעוזתו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מהנוכחים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שסבבו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ובטחונו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שלשיטתה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מייצגת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הולם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שינוע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2.5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במגוון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תקופות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שריחף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מלנקוט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תמצית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טיעוני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ודבר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טרם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גזר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לפציעה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שילוב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נוצר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לצרכי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קונקרטי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להכירו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מהתנכלויות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המורחבת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להודיית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שמשמעותה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שקדמה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לסגור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חשבון</w:t>
      </w:r>
      <w:r>
        <w:rPr>
          <w:rFonts w:cs="David" w:ascii="David" w:hAnsi="David"/>
          <w:rtl w:val="true"/>
        </w:rPr>
        <w:t>". "</w:t>
      </w:r>
      <w:r>
        <w:rPr>
          <w:rFonts w:ascii="David" w:hAnsi="David"/>
          <w:rtl w:val="true"/>
        </w:rPr>
        <w:t>סגירת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שהתרחשה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היסוד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ומחייבת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מתברר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משתתפיה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שהוסתר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חולצתו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וכשהגיע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אושפז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צודקת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בהפנותה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לחולצה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שסיכן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זאת </w:t>
      </w:r>
      <w:r>
        <w:rPr>
          <w:rFonts w:ascii="David" w:hAnsi="David"/>
          <w:rtl w:val="true"/>
        </w:rPr>
        <w:t>כמובן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פציעה שנגרמה למתלונן ברגלו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אושפז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בריוניים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מובהקים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שבניגוד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כשלעצמם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פועלים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בלהט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r>
        <w:rPr>
          <w:rFonts w:ascii="David" w:hAnsi="David"/>
          <w:rtl w:val="true"/>
        </w:rPr>
        <w:t xml:space="preserve">הם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בקטטה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ההתרחשות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צמודה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הקטטה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תעוזת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בתעוזה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דיוק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עזות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ואלימה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המקובלים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ובמלים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רגישים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נחמה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פורתא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ובטחונו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הבסיסיים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הבינונית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הגופניים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הפוטנציאלית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הנלווית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במרחב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אזרחים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מהאפשרויות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הבאות</w:t>
      </w:r>
      <w:r>
        <w:rPr>
          <w:rFonts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ולעתים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פציעה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תולדה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ששקלל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והסיכונים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ההדדיים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בעיית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ואבהיר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בנדון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יצור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סעיפי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מלאכותי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באיתור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הייחוס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פציעה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יסייעו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שקלול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והפחתה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מותאמת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בכפוף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5717/14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גדבאן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2.12.14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קליע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מהקליעים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והחמירו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המשיב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פגיעתו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נפגש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והשתמש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מספר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פעמים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תוך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בריונות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והפחדה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לנוכח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חומרת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ההשלכות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האסון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הסכנה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הגלום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לשלמות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הגוף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והנפש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ולביטחון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הגלום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קבע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פעם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פעם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ירתיע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מפני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נקיטה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תרחיק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מבצע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החברה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לתקופת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. . . </w:t>
      </w:r>
      <w:r>
        <w:rPr>
          <w:rFonts w:ascii="David" w:hAnsi="David"/>
          <w:b/>
          <w:b/>
          <w:bCs/>
          <w:rtl w:val="true"/>
        </w:rPr>
        <w:t>עוד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נקבע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הדרישה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מועצמת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עסקינן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שרק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מחזיק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. . . </w:t>
      </w:r>
      <w:r>
        <w:rPr>
          <w:rFonts w:ascii="David" w:hAnsi="David"/>
          <w:b/>
          <w:b/>
          <w:bCs/>
          <w:rtl w:val="true"/>
        </w:rPr>
        <w:t>חומרתן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ונשיאת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תחומה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עצמן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ולהיותן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מנוגדות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מובילות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ולמצער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החשש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שיובילו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לעבירות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נוספות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שימוש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תוך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בזולת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אירע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במקרה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שלפנינו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. . . </w:t>
      </w:r>
      <w:r>
        <w:rPr>
          <w:rFonts w:ascii="David" w:hAnsi="David"/>
          <w:b/>
          <w:b/>
          <w:bCs/>
          <w:rtl w:val="true"/>
        </w:rPr>
        <w:t>שיקולים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כולם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מובילים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לצורך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המשיב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בהתחשב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בנימוקים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לקולה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ובראשם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הודאתו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והבעת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חרטתו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האינטרס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מצדיק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ומחייב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העלאת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שעונשי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יהיו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ומשמעותיים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מוצאים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להחמיר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שהוטל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המשיב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overflowPunct w:val="false"/>
        <w:autoSpaceDE w:val="false"/>
        <w:ind w:end="0"/>
        <w:jc w:val="center"/>
        <w:rPr>
          <w:rFonts w:ascii="David" w:hAnsi="David" w:cs="David"/>
          <w:b/>
          <w:bCs/>
          <w:color w:val="0000FF"/>
          <w:sz w:val="22"/>
          <w:u w:val="single"/>
        </w:rPr>
      </w:pPr>
      <w:r>
        <w:rPr>
          <w:rFonts w:cs="David" w:ascii="David" w:hAnsi="David"/>
          <w:b/>
          <w:bCs/>
          <w:color w:val="0000FF"/>
          <w:sz w:val="22"/>
          <w:u w:val="single"/>
          <w:rtl w:val="true"/>
        </w:rPr>
      </w:r>
    </w:p>
    <w:p>
      <w:pPr>
        <w:pStyle w:val="Normal"/>
        <w:overflowPunct w:val="false"/>
        <w:autoSpaceDE w:val="false"/>
        <w:ind w:end="0"/>
        <w:jc w:val="center"/>
        <w:rPr>
          <w:b/>
          <w:bCs/>
          <w:color w:val="0000FF"/>
          <w:sz w:val="22"/>
          <w:u w:val="single"/>
        </w:rPr>
      </w:pPr>
      <w:r>
        <w:rPr>
          <w:b/>
          <w:bCs/>
          <w:color w:val="0000FF"/>
          <w:sz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398-09-16</w:t>
        </w:r>
      </w:hyperlink>
      <w:r>
        <w:rPr>
          <w:rFonts w:cs="Times New Roman"/>
          <w:rtl w:val="true"/>
        </w:rPr>
        <w:t>‏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‏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פיודורוב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5.4.17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הקליע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חופשי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u w:val="single"/>
        </w:rPr>
        <w:t>36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הסיכומים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4026/17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28.3.18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5388-11-13</w:t>
        </w:r>
      </w:hyperlink>
      <w:r>
        <w:rPr>
          <w:rFonts w:cs="Times New Roman"/>
          <w:rtl w:val="true"/>
        </w:rPr>
        <w:t>‏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בהא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30.10.2014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ובפציעה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כשלצדו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כשחלף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ויכוח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ארוסתו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ואגב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מאבק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נקבע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50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והוטל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בפועל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לשיהוי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  <w:lang w:eastAsia="he-IL"/>
        </w:rPr>
      </w:pP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37701-05-13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הנבוזי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30.4.14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מרדף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לאטליז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קליע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וקליע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כשדלת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פתוחה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הקליע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לבטנה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באיבריה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הפנימיים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נקבע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והעונש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הועמד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ערעורים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411914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4188/14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21.9.14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  <w:lang w:eastAsia="he-IL"/>
        </w:rPr>
      </w:pPr>
      <w:r>
        <w:rPr>
          <w:rFonts w:cs="Arial" w:ascii="Calibri" w:hAnsi="Calibri"/>
          <w:sz w:val="22"/>
          <w:szCs w:val="22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31467-07-14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הוארי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29.3.15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יושבי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מיושבי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לתדלק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לנוסע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רדף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נקבע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מתחם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ונגזרו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36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257" w:before="0" w:after="160"/>
        <w:ind w:end="426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קובע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ההולם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לסטייה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במתחם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לצערי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1983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ריחף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הופעל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היסס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יזום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ואקטיבי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שתוארו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ההודיה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בלהט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תפרה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המציאות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בתכלית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המורחבת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הרחקתו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התעלמתי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לצערי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בחירותיו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התרשמתי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לאפיקים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ומסתבך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לסובבים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הגרעינית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סוף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הבאים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3.6.18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במזכירות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במישרין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בעקיפין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36728-06-18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סעיד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2"/>
      <w:numFmt w:val="bullet"/>
      <w:lvlText w:val=""/>
      <w:lvlJc w:val="end"/>
      <w:pPr>
        <w:tabs>
          <w:tab w:val="num" w:pos="0"/>
        </w:tabs>
        <w:ind w:start="1306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eastAsia="Times New Roman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cs="David"/>
    </w:rPr>
  </w:style>
  <w:style w:type="paragraph" w:styleId="Ruller38">
    <w:name w:val="סגנון Ruller 3 + (מורכב) ‏8 נק"/>
    <w:basedOn w:val="Normal"/>
    <w:qFormat/>
    <w:pPr>
      <w:overflowPunct w:val="false"/>
      <w:autoSpaceDE w:val="false"/>
    </w:pPr>
    <w:rPr>
      <w:sz w:val="22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4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17948201" TargetMode="External"/><Relationship Id="rId11" Type="http://schemas.openxmlformats.org/officeDocument/2006/relationships/hyperlink" Target="http://www.nevo.co.il/case/21531325" TargetMode="External"/><Relationship Id="rId12" Type="http://schemas.openxmlformats.org/officeDocument/2006/relationships/hyperlink" Target="http://www.nevo.co.il/case/22690196" TargetMode="External"/><Relationship Id="rId13" Type="http://schemas.openxmlformats.org/officeDocument/2006/relationships/hyperlink" Target="http://www.nevo.co.il/case/8484012" TargetMode="External"/><Relationship Id="rId14" Type="http://schemas.openxmlformats.org/officeDocument/2006/relationships/hyperlink" Target="http://www.nevo.co.il/case/7849534" TargetMode="External"/><Relationship Id="rId15" Type="http://schemas.openxmlformats.org/officeDocument/2006/relationships/hyperlink" Target="http://www.nevo.co.il/case/17065450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2019-06-03T13:22:00Z</dcterms:created>
  <dc:creator> </dc:creator>
  <dc:description/>
  <cp:keywords/>
  <dc:language>en-IL</dc:language>
  <cp:lastModifiedBy>yafit</cp:lastModifiedBy>
  <dcterms:modified xsi:type="dcterms:W3CDTF">2019-06-03T13:22:00Z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סעיד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17948201;21531325;22690196;8484012;7849534;17065450</vt:lpwstr>
  </property>
  <property fmtid="{D5CDD505-2E9C-101B-9397-08002B2CF9AE}" pid="9" name="CITY">
    <vt:lpwstr>חי'</vt:lpwstr>
  </property>
  <property fmtid="{D5CDD505-2E9C-101B-9397-08002B2CF9AE}" pid="10" name="DATE">
    <vt:lpwstr>20190123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</vt:lpwstr>
  </property>
  <property fmtid="{D5CDD505-2E9C-101B-9397-08002B2CF9AE}" pid="14" name="LAWLISTTMP1">
    <vt:lpwstr>70301/334:2;144.b:2</vt:lpwstr>
  </property>
  <property fmtid="{D5CDD505-2E9C-101B-9397-08002B2CF9AE}" pid="15" name="LAWYER">
    <vt:lpwstr>פאיז יונס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36728</vt:lpwstr>
  </property>
  <property fmtid="{D5CDD505-2E9C-101B-9397-08002B2CF9AE}" pid="22" name="NEWPARTB">
    <vt:lpwstr>06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390020190123</vt:lpwstr>
  </property>
  <property fmtid="{D5CDD505-2E9C-101B-9397-08002B2CF9AE}" pid="34" name="TYPE_N_DATE">
    <vt:lpwstr>39020190123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