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37047-07-20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אטרש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פרקליטות מחוז ירושלים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רמזי אטרש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עומייר מריד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מוחמדאטרש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עניינו הסתיים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לנאשם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  <w:bookmarkStart w:id="8" w:name="PsakDin"/>
            <w:bookmarkStart w:id="9" w:name="PsakDin"/>
            <w:bookmarkEnd w:id="9"/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העובדות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10" w:name="ABSTRACT_START"/>
      <w:bookmarkEnd w:id="10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1988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והורשע בכתב אישום שתוקן במסגרת הסדר טיעון בעבירות של נסיון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בצירוף </w:t>
      </w:r>
      <w:hyperlink r:id="rId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סחר בנשר לפי </w:t>
      </w:r>
      <w:hyperlink r:id="rId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והחזקת נשק לפי 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ההסדר לא כלל הסכמה בעניין העונש</w:t>
      </w:r>
      <w:bookmarkStart w:id="11" w:name="ABSTRACT_END"/>
      <w:bookmarkEnd w:id="11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פי עובדות החלק הכללי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חלק מחבורת צעירים שהתגוררו באזור מחנה פליטים שועפאט וענאתא החדשה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שכרו יחד דירה במחנה הפליטים לצורך פגישות משותפות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והתחלקו בעלות השכירות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במסגרת קשריהם עם אחרים נהגו בני החבורה להחזיק או לסחור בכלי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ושמשו כתובת לרכישת נשק ואף לסיוע אלים בפתרון סכסוכים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בני החבורה השתמשו או תכננו להשתמש בנשק שצברו לאיום או פגיעה במי שפגע או שתכנן לפגוע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בשיחות טלפון ביניהם ניסו בני החבורה להסוות את ההחזקה והסחר בנשק ובאמל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באמצעות שימוש בשמות קוד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באישום הראשון נטען כי ביום </w:t>
      </w:r>
      <w:r>
        <w:rPr>
          <w:rFonts w:cs="Arial" w:ascii="Arial" w:hAnsi="Arial"/>
        </w:rPr>
        <w:t>23.5.20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הנאשם אל מוחמד אבו עבסה וסיפר לו שפנה אליו אדם המעוניין לרכוש נשק ארוך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ואבו עבסה ניהלו שיחות באשר למקום המפגש עם הקונה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בדירה או במקום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ובסופו של דבר הודיע אבו עבסה לנאשם כי יצא עם הנשק להיפגש איתו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הודיע הנאשם לאבו עבסה כי הקונים הגיעו לענתה אך אינם יודעים כיצד להגיע לדירה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ואבו עבסה סיכמו כי הנאשם ילך לאסוף את הקונים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כך הואשם הנאשם בעבירה של נסיון לסחר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באישום השני נטען כי ביום </w:t>
      </w:r>
      <w:r>
        <w:rPr>
          <w:rFonts w:cs="Arial" w:ascii="Arial" w:hAnsi="Arial"/>
        </w:rPr>
        <w:t>10.6.20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הנאשם נשק ארוך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בדק אותו בעצמו או באמצעות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הטעין אותו בכדורים וירה כדי לוודא את תקינותו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ובמהלך הירי נוצר מעצור שהצריך תפעול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לכך מכר הנאשם את הנשק לקונה שזהותו אינה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סיכם איתו שיוכל להחזירו אם הנשק לא יפעל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באישום השלישי תואר כי ביום </w:t>
      </w:r>
      <w:r>
        <w:rPr>
          <w:rFonts w:cs="Arial" w:ascii="Arial" w:hAnsi="Arial"/>
        </w:rPr>
        <w:t>17.6.20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ימים ספורים לפני כן התגלע סכסוך בין משפחת 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למשפחתם של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חשש מנקמה החלו בני החבורה להצטייד בנשק ותחמושת ולהתאסף בבית משפחת אטרש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זו פנה הנאשם אל אבו עבסה וביקש ממנו להביא את הנשק הארו</w:t>
      </w:r>
      <w:r>
        <w:rPr>
          <w:rFonts w:ascii="Arial" w:hAnsi="Arial" w:cs="Arial"/>
          <w:rtl w:val="true"/>
        </w:rPr>
        <w:t>ך</w:t>
      </w:r>
      <w:r>
        <w:rPr>
          <w:rFonts w:ascii="Arial" w:hAnsi="Arial" w:cs="Arial"/>
          <w:rtl w:val="true"/>
        </w:rPr>
        <w:t>שמכר לאחרונה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ציין כי הנשק נדרש בדחיפות כיוון שעומדת לפרוץ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מלחמה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וכי בכוונתו להביא ארגז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זאת פנה מחמד אבו עבסה לספק נשק שעמו עבד בשם מוחמד וביקש ממנו להביא את הנשק שברשותו לאחיו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יאזן אבו עבסה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לצורך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מלחמה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שעתידה להתקיים במחנה הפליטים שועפאט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במועד זה מסר אחד מבני החבורה אקדח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שיחזיק בו לצורך הסכסוך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אבו עבסה עדכן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נשק נוסף יגיע 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החזיק באקדח בבית משפחתו על מנת לעשות בו שימוש במסגרת הסכסוך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השעה </w:t>
      </w:r>
      <w:r>
        <w:rPr>
          <w:rFonts w:cs="Arial" w:ascii="Arial" w:hAnsi="Arial"/>
        </w:rPr>
        <w:t>22:00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אבו עבסה ששהה עם בני החבורה בבית משפחת אטרש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מחזיקים בנשק רב ובתחמושת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וביקש להיעזר בנאשם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לצורך הכנסת נשק נוסף אל בית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 הגיעו נציגי משפחות אטרש ושעבאן בתיווך שיח להסדר שמנע את השימוש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כך הורשע הנאשם בעבירה של החזקת בנשק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הגישה את רישומו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</w:t>
      </w:r>
      <w:r>
        <w:rPr>
          <w:rFonts w:ascii="Arial" w:hAnsi="Arial" w:cs="Arial"/>
          <w:rtl w:val="true"/>
        </w:rPr>
        <w:t xml:space="preserve"> מספר הרשעות בעבירות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עבירות רכוש אך גם עבירת תקיפה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בגינן ריצה הנאשם מספר עונשי מאסר קצרים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מטעם הנאשם העיד אביו שתיאר את הקושי שנגרם לכל בני המשפחה כתוצאה ממעצרו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הוגשו מסמכים המעידים על חובות בסכומים גדולים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על מעמדה של אשת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היתר השהיה שלה בישראל עומד לפוג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ביקש להגיש מסמכים הנוגעים לשחרורם של מעורבים אחרים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לטענתו לא הועמדו לדין על אף חלקם במעשים דומים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שלא אפשרתי לו להגישם במועד הדיון הגיש הסניגור את המסמכים בהודעה לבית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התנגדה וטענה שבהתאם להסדר הטיעון בין הצדדים הסניגור מנוע מהגשת מסמכים וטענת עובדות החורגות מעובדות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אינני מקבלת את המסמכים ולא אדרש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מאחר שהם חורגים מעובדות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משום שלא ניתן לקבל מסמכים חלקיים מבלי שיהיה בהם כדי להציג תשתית עובדתית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הנימוקים הערכת קשיים ראייתיים ונימוקם לשחרורים של מעורבים 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עומד בפני כתב האישום המתוקן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שאת דינו גזרתי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 כי הנאשם פעל ממוטיבציה כספית וכן סייע להתחמשות לצורך עימות מזויין עם חבורה יריבה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למלחמה כזו פוטנציאל פגיעה בחפים מפשע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נפגעו הערכים של שמירה על בטחון הציבור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התובעת הפנתה לפסיקה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היא טענה כי לו היה הנאשם נדון בנפרד על כל אחד מהאישומים היה מקום לקבוע לאישום הראשון מתחם שבין </w:t>
      </w:r>
      <w:r>
        <w:rPr>
          <w:rFonts w:cs="Arial" w:ascii="Arial" w:hAnsi="Arial"/>
        </w:rPr>
        <w:t>2.5-5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לאישום השני </w:t>
      </w:r>
      <w:r>
        <w:rPr>
          <w:rFonts w:cs="Arial" w:ascii="Arial" w:hAnsi="Arial"/>
        </w:rPr>
        <w:t>3-7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ולאישום השלישי </w:t>
      </w:r>
      <w:r>
        <w:rPr>
          <w:rFonts w:cs="Arial" w:ascii="Arial" w:hAnsi="Arial"/>
        </w:rPr>
        <w:t>18-40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היא ביקשה לקבוע מתחם אחד לכל האישומים ולהעמידו על טווח של </w:t>
      </w:r>
      <w:r>
        <w:rPr>
          <w:rFonts w:cs="Arial" w:ascii="Arial" w:hAnsi="Arial"/>
        </w:rPr>
        <w:t>5-8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לעונשו של הנאשם 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את העובדה שהודה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וחסך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ומאידך את האחריות החלקית והנטיה לאימפולסיביות העולות מתסקיר שירות המבחן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הוסיפה כי לנאשם עבר פלילי וכי אין לנאשם נסיבות אישיות יוצאות דופן המצדיקות חריגה מהמתחם או התחשבות מיוחדת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לפיכך ביקשה לגזור על הנאשם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המצוי בשליש התחתון של מתחם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תיאר כי הנאשם נשוי ואב לחמישה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מהם מאובחן כבעל צרכים מיוחדים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אשתו תושבת האיזור החזיקה אשרה שתוקפה פג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יכלה לחדשה מאחר שהנאשם לא יכול היה להיות נוכח בראיון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מצבו הכלכלי של הנאשם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הקורונה עבד כנהג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לקח הלוואות שלא עמד בהן והוא צפוי להליכי הוצאה לפועל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גדל במחנה הפליטים שועפאט במשפחה בת שמונה נפשות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נשר מלימודיו ופנה לעבודה בגיל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הושפע מסביבתו וחבר לחברה שולית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הבין את הפסול במעשיו והוא מביע צער ומעוניין לסגור פרק זה בחייו ולהשתלב בהליך טיפולי ולחזור לאורח חיים נורמטיבי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נוגע</w:t>
      </w:r>
      <w:r>
        <w:rPr>
          <w:rFonts w:ascii="Arial" w:hAnsi="Arial" w:cs="Arial"/>
          <w:rtl w:val="true"/>
        </w:rPr>
        <w:t xml:space="preserve"> לכתב האישום בו הורשע הנאשם טען הסניגור כי הוא מבוסס על האזנות סתר שיעדיהן היו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דומיננטיים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הנאשם שבפני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נתפסו אצל הנאשם נשק או חלקי נשק או ראיות כלשהן לביצוע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הסניגור כי כתב האישום מתייחס לתקופה קצרה ומתוחמת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המטרה העיקרית של שכירת הדירה היתה לצרכים חברתיים ולבילוי משותף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הוסיף כי באישומים הראשונים אין תיאור של כלי הנשק בהם מדובר והם לא נתפסו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ברור אם מדובר בנשק תקני או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נטען לתמורה או לרווח כלכלי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השלישי חלקו של הנאשם שבפני מינורי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הוא הודיע שבכוונתו להביא ארגז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פורט סוג התחמושת ולא ברור אם הדבר בוצע ואם הוא מחזיק אצלו ארגז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 אף לא נתפס ארגז תחמושת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טען הסניגור כי הנאשם נעצר לפני כשנה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בהחלטה שניתנה בעניינו התאפשר לו להציג חלופת מעצר בפיקוח אלקטרוני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בשל הקושי הכלכלי לשכור דירה בירושלים וההכבדה על המפקחים הנאשם ויתר על אפשרות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התייחס גם לתסקיר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להודאתו המלאה של הנאשם ולקיחת האחריות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ההכרה בקווים בעייתיים בהתנהגותו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ציין כי הנאשם לא הצדיק את מעשיו ולא גימד את חלקו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ברור מדוע נכתב בתסקיר שגילה אחריות חלקית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הוסיף וטען</w:t>
      </w:r>
      <w:r>
        <w:rPr>
          <w:rFonts w:ascii="Arial" w:hAnsi="Arial" w:cs="Arial"/>
          <w:rtl w:val="true"/>
        </w:rPr>
        <w:t xml:space="preserve"> כי הנאשם לא קיבל תמורה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המעשים לא גרמו נזק של ממש וכי הם נובעים מחוסר ביטחון במקום מגוריו של הנאשם כלפי כוחות הביטחון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הפנה לפסקי דין 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והוסיף כי בפסיקה התפתחה מגמה לפיה העונש על עבירות ניסיון עומד על כמחצית העונש לעבירה המושלמת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לטענתו מתחם הענישה נע בין </w:t>
      </w:r>
      <w:r>
        <w:rPr>
          <w:rFonts w:cs="Arial" w:ascii="Arial" w:hAnsi="Arial"/>
        </w:rPr>
        <w:t>8-24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בביצוע העבירה טען הסניגור כי לנאשם עבר בעבירות שאינן ממין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האחרונה לפני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ומאסר ממושך יקשה עליו לחזור לשגרה ולאורח חיים תקין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ציין את הפגיעה באשת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ההכרה באחריות על אף קשיים ראייתיים בתיק ואת היעדרם של רווח או תמורה כספית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לגזור עונש ברף הנמוך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עצמו הביע צער והכיר בטעותו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פי התסקיר הנאשם כבן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בענתא החדשה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 היה בחל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 לאחר שפוטר מעבודתו כנהג טרקטור בשל משבר הקורונה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השלים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מספר הרשעות קודמות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בפניות קודמות לשירות המבחן עורר הנאשם רושם של אדם נורמטיבי המתמודד עם קשיים במישור הלימודי והרגשי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סבורה כי קיימת בעיה כללית במעורבות חוזרת בעבירות על החוק וביכולת לווסת דחפים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מפיו של הנאשם נמסר כי הוא ביצע את העבירות על רקע הצורך הכלכלי להרוויח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ביצע עסקה אחת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אותה עסקה מתוארת הן באישום הראשון והן בשני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נכתב בתסקיר כי הנאשם הביע חרטה מילולית וכי קיום ההליך מרתיע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ועם זאת הוא מגלה נטיה לאימפולסיביות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ונראה כי הגדילה בסביבה של התנהגות שולית ועבריינית הביאה להפנמת נורמות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המליצה להתחשב בשאיפותיו של הנאשם לשיקום ולהתנהגות חיובית שומרת 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 כי הוא יוכל להיתרם מהליך טיפולי במסגרת מאסרו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כלי נשק הוא חפץ 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שהשימוש העיקרי בו הוא לצורך המתת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פגיעה גופנית חמורה לאדם או איום בפגיעה כזו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צורך להכביר מילים באשר לסכנה הנשקפת מסחר והחזקה של כלי נשק הנעשית על ידי מי שאינם מורשים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למטרות ראויות כגון הגנה על בטחון המדינה או על שלום אזרחיה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מזה שנים שפסיקת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ויתר הערכאות בעקבותיה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עומדת על הצורך בענישה מחמירה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הכלל הוא שבגין עבירות אלו העונש הראוי הוא בדרך כלל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עמד על הסכנה הנשקפת מהימצאות כלי נשק בידי גורמים שאינם מורשים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כאלה העלולים לעשות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ולפיכך על הצורך בהעלאת רף הענישה בעבירות הנשק לסוגיהן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לדוגמא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יונס 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כי</w:t>
      </w:r>
    </w:p>
    <w:p>
      <w:pPr>
        <w:pStyle w:val="Normal"/>
        <w:spacing w:lineRule="auto" w:line="360" w:before="0" w:after="240"/>
        <w:ind w:start="708" w:end="993"/>
        <w:jc w:val="both"/>
        <w:rPr/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"...</w:t>
      </w:r>
      <w:r>
        <w:rPr>
          <w:rFonts w:ascii="Arial" w:hAnsi="Arial" w:cs="Arial"/>
          <w:b/>
          <w:b/>
          <w:bCs/>
          <w:rtl w:val="true"/>
        </w:rPr>
        <w:t>לעיתים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מדיניות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הענישה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הנוהגת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ביחס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לעבירה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מסוימת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אינה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מספקת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המשפט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להורות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החמרה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בענישה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לקדם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ולהגן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הערכים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אשר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ביסודה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ובכך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לבלום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נפיצותן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עבירות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מסוימות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ההופכות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מכת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מדינה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ascii="Arial" w:hAnsi="Arial" w:cs="Arial"/>
          <w:b/>
          <w:b/>
          <w:bCs/>
          <w:rtl w:val="true"/>
        </w:rPr>
        <w:t>ולתת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ביטוי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לחומרה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שיש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לייחס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להן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240"/>
        <w:ind w:start="708" w:end="993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Arial" w:ascii="Arial" w:hAnsi="Arial"/>
          <w:b/>
          <w:bCs/>
          <w:rtl w:val="true"/>
        </w:rPr>
        <w:t>...</w:t>
      </w:r>
    </w:p>
    <w:p>
      <w:pPr>
        <w:pStyle w:val="Normal"/>
        <w:spacing w:lineRule="auto" w:line="360" w:before="0" w:after="240"/>
        <w:ind w:start="708" w:end="993"/>
        <w:jc w:val="both"/>
        <w:rPr/>
      </w:pPr>
      <w:r>
        <w:rPr>
          <w:rFonts w:ascii="Arial" w:hAnsi="Arial" w:cs="Arial"/>
          <w:b/>
          <w:b/>
          <w:bCs/>
          <w:rtl w:val="true"/>
        </w:rPr>
        <w:t>על רקע המציאות אותה אנו חווים למרבה הצער מדי 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708" w:end="851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בהתאם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לכך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ולנוכח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ריבוי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מקרי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הירי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לנקוט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במדיניות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ענישה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מחמירה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כלפי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ביצוע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עבירות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החזקת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נשק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שלא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אחת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כמה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וכמה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שימוש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בנשק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ופציעתם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קורבנות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שונים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עקב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כך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240"/>
        <w:ind w:start="708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 גם להגעתו של נשק זה לגורמים עויינים ובכללם גורמי טרור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החומרה הרבה שבעבירות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הצורך להחמיר בענישה והכלל של הטלת עונשי מאסר בפועל בדרך כלל עלו בפסקי דין רבים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ביניהם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מאל נפעא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);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6989/13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חנא פרח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25.2.14</w:t>
      </w:r>
      <w:r>
        <w:rPr>
          <w:rFonts w:cs="Arial" w:ascii="Arial" w:hAnsi="Arial"/>
          <w:rtl w:val="true"/>
        </w:rPr>
        <w:t xml:space="preserve">),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עבד אלכרים 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ועוד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עיינתי בפסיקה אליה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ובפסיקה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אפרט חלק ממנה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רונן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19.1.17</w:t>
      </w:r>
      <w:r>
        <w:rPr>
          <w:rtl w:val="true"/>
        </w:rPr>
        <w:t>)</w:t>
      </w:r>
      <w:r>
        <w:rPr>
          <w:rtl w:val="true"/>
        </w:rPr>
        <w:t xml:space="preserve">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שוק</w:t>
      </w:r>
      <w:r>
        <w:rPr>
          <w:rtl w:val="true"/>
        </w:rPr>
        <w:t xml:space="preserve">" </w:t>
      </w:r>
      <w:r>
        <w:rPr>
          <w:rtl w:val="true"/>
        </w:rPr>
        <w:t>מחתרתי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וגדיעתו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785/15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איהאב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פואקה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6.12.15</w:t>
      </w:r>
      <w:r>
        <w:rPr>
          <w:b/>
          <w:bCs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8280/15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ולאני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28.3.16</w:t>
      </w:r>
      <w:r>
        <w:rPr>
          <w:b/>
          <w:bCs/>
          <w:rtl w:val="true"/>
        </w:rPr>
        <w:t xml:space="preserve">)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1768/14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22.7.14</w:t>
      </w:r>
      <w:r>
        <w:rPr>
          <w:b/>
          <w:bCs/>
          <w:rtl w:val="true"/>
        </w:rPr>
        <w:t xml:space="preserve">) </w:t>
      </w:r>
      <w:r>
        <w:rPr>
          <w:b/>
          <w:bCs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526/14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2.3.14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hanging="360" w:start="720" w:end="0"/>
        <w:contextualSpacing/>
        <w:jc w:val="both"/>
        <w:rPr>
          <w:rFonts w:ascii="Arial" w:hAnsi="Arial" w:cs="Arial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24215-06-13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דוידאר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17.2.14</w:t>
      </w:r>
      <w:r>
        <w:rPr>
          <w:b/>
          <w:bCs/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52515-03-20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מורשד סנדוקה </w:t>
      </w:r>
      <w:r>
        <w:rPr>
          <w:rFonts w:cs="Arial" w:ascii="Arial" w:hAnsi="Arial"/>
        </w:rPr>
        <w:t>19.10.20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תת מקלע מאולתר ברכבו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של </w:t>
      </w:r>
      <w:r>
        <w:rPr>
          <w:rFonts w:cs="Arial" w:ascii="Arial" w:hAnsi="Arial"/>
        </w:rPr>
        <w:t>7-20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ועונשים נלווים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35512-06-17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קעקע בכיראת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7.3.19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והורשע בשתי עבירות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שהסליק מתחת למבנה קרוואן המצוי בבית ספר רובה סער מסוג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אקדח חצי אוטומטי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בין </w:t>
      </w:r>
      <w:r>
        <w:rPr>
          <w:rFonts w:cs="Arial" w:ascii="Arial" w:hAnsi="Arial"/>
        </w:rPr>
        <w:t>12-24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עבר פלילי מינורי שאינו רלוונטי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נצ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37217-03-19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עבדאללה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ואברה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25.11.19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המערער החזיק בביתו אקדח חצי אוטומטי טעון במחסנית עם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משפט השלום נקבע מתחם שבין </w:t>
      </w:r>
      <w:r>
        <w:rPr>
          <w:rFonts w:cs="Arial" w:ascii="Arial" w:hAnsi="Arial"/>
        </w:rPr>
        <w:t>6-24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והמערער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התייחסות גם לטענה לפיה הפסיקה הנוהגת המבטאת רמת ענישה נמוכה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ונקבע כי הפסיקה הכירה בצורך להעלות את רמת הענישה בכל קשת עבירות הנשק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62597-10-17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6.1.19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הנאשם הורשע בנשיאת והובלת נשק –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מביתו שבלקיה אל מחוץ ליישוב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עבר פלילי מינורי כנער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בין  </w:t>
      </w:r>
      <w:r>
        <w:rPr>
          <w:rFonts w:cs="Arial" w:ascii="Arial" w:hAnsi="Arial"/>
        </w:rPr>
        <w:t>6-30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הנאשם נגזרו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סר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11786-06-16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מאהר רזאק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18.6.18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הודה והורשע בהחזקת רימוני הלם שנמצאו על ידו למשך זמן קצר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הנע בין מאסר קצר שיכול שירוצה בעבודות שירות לבין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בכך שמדובר ברימוני הלם שהסיכון הנשקף מהם נמוך והעבירה ברף התחתון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/>
      </w:pPr>
      <w:hyperlink r:id="rId26">
        <w:r>
          <w:rPr>
            <w:rFonts w:cs="Arial" w:ascii="Arial" w:hAnsi="Arial"/>
            <w:color w:val="000000"/>
            <w:rtl w:val="true"/>
          </w:rPr>
        </w:r>
      </w:hyperlink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rtl w:val="true"/>
        </w:rPr>
        <w:t>אני מפנה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8045/17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מחמוד ברנסי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16.8.18</w:t>
      </w:r>
      <w:r>
        <w:rPr>
          <w:rFonts w:cs="Arial" w:ascii="Arial" w:hAnsi="Arial"/>
          <w:rtl w:val="true"/>
        </w:rPr>
        <w:t xml:space="preserve">);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3281/19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רון כריסי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;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35684-04-18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פריד שחאדה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1.5.19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כן אפנה ל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11789-12-16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31.12.17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שנדון 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קבעתי מתחם ענישה לעבירות סחר בנשק בין </w:t>
      </w:r>
      <w:r>
        <w:rPr>
          <w:rFonts w:cs="Arial" w:ascii="Arial" w:hAnsi="Arial"/>
        </w:rPr>
        <w:t>20-48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ולעבירות עסקה או תיווך שלא הבשילו לכדי סחר כשלושה רבעים מהעבירה המושלמת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sz w:val="22"/>
          <w:sz w:val="22"/>
          <w:szCs w:val="22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2"/>
            <w:sz w:val="22"/>
            <w:szCs w:val="22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2"/>
            <w:szCs w:val="22"/>
            <w:u w:val="single"/>
          </w:rPr>
          <w:t>58505-11-19</w:t>
        </w:r>
      </w:hyperlink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אחמד רישק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29.10.20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שאף הוא נדון בפני קבעתי מתחם שבין </w:t>
      </w:r>
      <w:r>
        <w:rPr>
          <w:rFonts w:cs="Arial" w:ascii="Arial" w:hAnsi="Arial"/>
        </w:rPr>
        <w:t>20-40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לעבירות של סחר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ascii="Arial" w:hAnsi="Arial" w:cs="Arial"/>
          <w:rtl w:val="true"/>
        </w:rPr>
        <w:t>עיינתי גם בגזרי דין שניתנו לנאשמים אחרים באותה פרשה על ידי מותבים אחרים בבית משפט זה</w:t>
      </w:r>
      <w:r>
        <w:rPr>
          <w:rFonts w:cs="Arial" w:ascii="Arial" w:hAnsi="Arial"/>
          <w:rtl w:val="true"/>
        </w:rPr>
        <w:t xml:space="preserve">: 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37175-07-20</w:t>
        </w:r>
      </w:hyperlink>
      <w:r>
        <w:rPr>
          <w:rFonts w:cs="Arial" w:ascii="Arial" w:hAnsi="Arial"/>
          <w:rtl w:val="true"/>
        </w:rPr>
        <w:t xml:space="preserve">;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70375-07-20</w:t>
        </w:r>
      </w:hyperlink>
      <w:r>
        <w:rPr>
          <w:rFonts w:cs="Arial" w:ascii="Arial" w:hAnsi="Arial"/>
          <w:rtl w:val="true"/>
        </w:rPr>
        <w:t xml:space="preserve">;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36909-07-20</w:t>
        </w:r>
      </w:hyperlink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hyperlink r:id="rId35">
        <w:r>
          <w:rPr>
            <w:rFonts w:cs="Arial" w:ascii="Arial" w:hAnsi="Arial"/>
          </w:rPr>
          <w:t>16</w:t>
        </w:r>
      </w:hyperlink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בתיק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בשונה ממרבית המקרים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תיאור האירועים בכתב האישום אמורפי ואינו כולל פרטים כגון סוג הנשק שנמכר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הסכום ששולם או היה אמור להיות משולם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זהות המעורבים וכדומה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ככל הנראה בשל העובדה שהמקור הראייתי העיקרי הוא האזנות הסתר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שאין בפני נתונים באשר לסוג הנשק שנמכר או שהוחזק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תקינותו ומידת הסכנה הנשקפת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עובדה זו פועלת במידת מה לזכות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כל נשק חם באשר הוא מהווה סכנה ממשית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17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לנוכח כל האמור אני קובעת מתחם ענישה</w:t>
      </w:r>
      <w:r>
        <w:rPr>
          <w:rFonts w:ascii="Arial" w:hAnsi="Arial" w:cs="Arial"/>
          <w:b/>
          <w:b/>
          <w:bCs/>
          <w:rtl w:val="true"/>
        </w:rPr>
        <w:t xml:space="preserve"> כולל לעבירות בהן הורשע הנאשם בטווח שבין </w:t>
      </w:r>
      <w:r>
        <w:rPr>
          <w:rFonts w:cs="Arial" w:ascii="Arial" w:hAnsi="Arial"/>
          <w:b/>
          <w:bCs/>
        </w:rPr>
        <w:t>36-90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העונש ההולם במקרה זה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הודה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נטל אחריות וחסך זמן </w:t>
      </w:r>
      <w:r>
        <w:rPr>
          <w:rFonts w:ascii="Arial" w:hAnsi="Arial" w:cs="Arial"/>
          <w:rtl w:val="true"/>
        </w:rPr>
        <w:t>ומשאבים ציבוריים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לא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לא ניתן להתעלם מעברו הפלילי של הנאשם ומכך שריצה עונשי מאסר בעבר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המניע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כספי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מצבו הכלכלי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שמוטל עליו עונש מאסר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כשלעצמו 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והרצון שלא להטיל נטל נוסף על בני משפחתו אמנע מהטלת קנס כספי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אני דנה את הנאשם לעונש כמפורט 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מאסר בפועל למשך ארבע וחצי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ימי מעצרו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מאסר על תנאי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על כל עבירת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זכות ערעור לבית המשפט העליון תוך </w:t>
      </w:r>
      <w:r>
        <w:rPr>
          <w:rFonts w:cs="David" w:ascii="David" w:hAnsi="David"/>
          <w:sz w:val="26"/>
          <w:szCs w:val="26"/>
        </w:rPr>
        <w:t>45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יום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3780" w:leader="none"/>
        </w:tabs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אב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2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אב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בהעדר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cs="David" w:ascii="David" w:hAnsi="David"/>
          <w:sz w:val="26"/>
          <w:szCs w:val="26"/>
          <w:rtl w:val="true"/>
        </w:rPr>
        <w:t xml:space="preserve">   </w:t>
        <w:tab/>
        <w:tab/>
        <w:tab/>
        <w:tab/>
        <w:tab/>
      </w:r>
      <w:r>
        <w:rPr>
          <w:rFonts w:ascii="David" w:hAnsi="David"/>
          <w:sz w:val="26"/>
          <w:sz w:val="26"/>
          <w:szCs w:val="26"/>
          <w:rtl w:val="true"/>
        </w:rPr>
        <w:t>חתימה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37047-07-20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רמזי אטרש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case/25824863" TargetMode="External"/><Relationship Id="rId12" Type="http://schemas.openxmlformats.org/officeDocument/2006/relationships/hyperlink" Target="http://www.nevo.co.il/case/5821327" TargetMode="External"/><Relationship Id="rId13" Type="http://schemas.openxmlformats.org/officeDocument/2006/relationships/hyperlink" Target="http://www.nevo.co.il/case/8291683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21474520" TargetMode="External"/><Relationship Id="rId16" Type="http://schemas.openxmlformats.org/officeDocument/2006/relationships/hyperlink" Target="http://www.nevo.co.il/case/20007334" TargetMode="External"/><Relationship Id="rId17" Type="http://schemas.openxmlformats.org/officeDocument/2006/relationships/hyperlink" Target="http://www.nevo.co.il/case/20775010" TargetMode="External"/><Relationship Id="rId18" Type="http://schemas.openxmlformats.org/officeDocument/2006/relationships/hyperlink" Target="http://www.nevo.co.il/case/13023134" TargetMode="External"/><Relationship Id="rId19" Type="http://schemas.openxmlformats.org/officeDocument/2006/relationships/hyperlink" Target="http://www.nevo.co.il/case/11269745" TargetMode="External"/><Relationship Id="rId20" Type="http://schemas.openxmlformats.org/officeDocument/2006/relationships/hyperlink" Target="http://www.nevo.co.il/case/7827259" TargetMode="External"/><Relationship Id="rId21" Type="http://schemas.openxmlformats.org/officeDocument/2006/relationships/hyperlink" Target="http://www.nevo.co.il/case/26568495" TargetMode="External"/><Relationship Id="rId22" Type="http://schemas.openxmlformats.org/officeDocument/2006/relationships/hyperlink" Target="http://www.nevo.co.il/case/22739459" TargetMode="External"/><Relationship Id="rId23" Type="http://schemas.openxmlformats.org/officeDocument/2006/relationships/hyperlink" Target="http://www.nevo.co.il/case/25543800" TargetMode="External"/><Relationship Id="rId24" Type="http://schemas.openxmlformats.org/officeDocument/2006/relationships/hyperlink" Target="http://www.nevo.co.il/case/23177651" TargetMode="External"/><Relationship Id="rId25" Type="http://schemas.openxmlformats.org/officeDocument/2006/relationships/hyperlink" Target="http://www.nevo.co.il/case/21662347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://www.nevo.co.il/case/23750625" TargetMode="External"/><Relationship Id="rId28" Type="http://schemas.openxmlformats.org/officeDocument/2006/relationships/hyperlink" Target="http://www.nevo.co.il/case/25694662" TargetMode="External"/><Relationship Id="rId29" Type="http://schemas.openxmlformats.org/officeDocument/2006/relationships/hyperlink" Target="http://www.nevo.co.il/case/23877236" TargetMode="External"/><Relationship Id="rId30" Type="http://schemas.openxmlformats.org/officeDocument/2006/relationships/hyperlink" Target="http://www.nevo.co.il/case/21725190" TargetMode="External"/><Relationship Id="rId31" Type="http://schemas.openxmlformats.org/officeDocument/2006/relationships/hyperlink" Target="http://www.nevo.co.il/case/26216623" TargetMode="External"/><Relationship Id="rId32" Type="http://schemas.openxmlformats.org/officeDocument/2006/relationships/hyperlink" Target="http://www.nevo.co.il/case/26850697" TargetMode="External"/><Relationship Id="rId33" Type="http://schemas.openxmlformats.org/officeDocument/2006/relationships/hyperlink" Target="http://www.nevo.co.il/case/26888814" TargetMode="External"/><Relationship Id="rId34" Type="http://schemas.openxmlformats.org/officeDocument/2006/relationships/hyperlink" Target="http://www.nevo.co.il/case/26850422" TargetMode="External"/><Relationship Id="rId35" Type="http://schemas.openxmlformats.org/officeDocument/2006/relationships/hyperlink" Target="http://www.nevo.co.il/case/26850422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2022-02-23T11:28:00Z</dcterms:created>
  <dc:creator> </dc:creator>
  <dc:description/>
  <cp:keywords/>
  <dc:language>en-IL</dc:language>
  <cp:lastModifiedBy>h1</cp:lastModifiedBy>
  <dcterms:modified xsi:type="dcterms:W3CDTF">2022-02-23T11:28:00Z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רמזי אטרש;מוחמדאטרש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25824863;5821327;8291683;7791493;21474520;20007334;20775010;13023134;11269745;7827259;26568495;22739459;25543800;23177651;21662347;23750625;25694662;23877236;21725190;26216623;26850697;26888814;26850422</vt:lpwstr>
  </property>
  <property fmtid="{D5CDD505-2E9C-101B-9397-08002B2CF9AE}" pid="9" name="CITY">
    <vt:lpwstr>י-ם</vt:lpwstr>
  </property>
  <property fmtid="{D5CDD505-2E9C-101B-9397-08002B2CF9AE}" pid="10" name="DATE">
    <vt:lpwstr>20210715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70301/144.b2:2;025;144.a</vt:lpwstr>
  </property>
  <property fmtid="{D5CDD505-2E9C-101B-9397-08002B2CF9AE}" pid="15" name="LAWYER">
    <vt:lpwstr>עומייר מריד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37047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390020210715</vt:lpwstr>
  </property>
  <property fmtid="{D5CDD505-2E9C-101B-9397-08002B2CF9AE}" pid="34" name="TYPE_N_DATE">
    <vt:lpwstr>39020210715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