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37104-06-22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פחמאווי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פחמאווי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איסמעיל פחמאווי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>הנאשם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הודה והורשע במסגרת הסדר טיעון בכתב אישום מתוקן הכולל שלושה אישומים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האישום </w:t>
      </w:r>
      <w:r>
        <w:rPr>
          <w:rFonts w:ascii="David" w:hAnsi="David" w:eastAsia="David"/>
          <w:b/>
          <w:b/>
          <w:bCs/>
          <w:rtl w:val="true"/>
        </w:rPr>
        <w:t>הראשון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בעבירות של החזקת נשק</w:t>
      </w:r>
      <w:r>
        <w:rPr>
          <w:rFonts w:ascii="David" w:hAnsi="David" w:eastAsia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 xml:space="preserve">סיפא </w:t>
      </w:r>
      <w:r>
        <w:rPr>
          <w:rFonts w:eastAsia="David" w:cs="David" w:ascii="David" w:hAnsi="David"/>
          <w:rtl w:val="true"/>
        </w:rPr>
        <w:t xml:space="preserve">+ </w:t>
      </w:r>
      <w:hyperlink r:id="rId14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עבירה של סיוע לנשיאת והובלת 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 xml:space="preserve">סיפא </w:t>
      </w:r>
      <w:r>
        <w:rPr>
          <w:rFonts w:eastAsia="David" w:cs="David" w:ascii="David" w:hAnsi="David"/>
          <w:rtl w:val="true"/>
        </w:rPr>
        <w:t xml:space="preserve">+ </w:t>
      </w:r>
      <w:hyperlink r:id="rId17">
        <w:r>
          <w:rPr>
            <w:rStyle w:val="Hyperlink"/>
            <w:rFonts w:eastAsia="David" w:cs="David" w:ascii="David" w:hAnsi="David"/>
          </w:rPr>
          <w:t>31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 ועבירה של ירי מנשק חם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19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 xml:space="preserve">האישום </w:t>
      </w:r>
      <w:r>
        <w:rPr>
          <w:rFonts w:ascii="David" w:hAnsi="David" w:eastAsia="David"/>
          <w:b/>
          <w:b/>
          <w:bCs/>
          <w:rtl w:val="true"/>
        </w:rPr>
        <w:t>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בעבירות של רכישת והחזקת נשק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hyperlink r:id="rId21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עבירה של נשיאת 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 xml:space="preserve">סיפא </w:t>
      </w:r>
      <w:r>
        <w:rPr>
          <w:rFonts w:eastAsia="David" w:cs="David" w:ascii="David" w:hAnsi="David"/>
          <w:rtl w:val="true"/>
        </w:rPr>
        <w:t xml:space="preserve">+ </w:t>
      </w:r>
      <w:hyperlink r:id="rId24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</w:t>
      </w:r>
      <w:r>
        <w:rPr>
          <w:rFonts w:ascii="David" w:hAnsi="David" w:eastAsia="David"/>
          <w:rtl w:val="true"/>
        </w:rPr>
        <w:t xml:space="preserve">של ירי </w:t>
      </w:r>
      <w:r>
        <w:rPr>
          <w:rFonts w:ascii="David" w:hAnsi="David" w:eastAsia="David"/>
          <w:rtl w:val="true"/>
        </w:rPr>
        <w:t>מנשק חם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5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26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bookmarkStart w:id="8" w:name="ABSTRACT_END"/>
      <w:bookmarkEnd w:id="8"/>
      <w:r>
        <w:rPr>
          <w:rFonts w:ascii="David" w:hAnsi="David" w:eastAsia="David"/>
          <w:b/>
          <w:b/>
          <w:bCs/>
          <w:rtl w:val="true"/>
        </w:rPr>
        <w:t>האישום השלישי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בעבירות של רכישת והחזקת נש</w:t>
      </w:r>
      <w:r>
        <w:rPr>
          <w:rFonts w:ascii="David" w:hAnsi="David" w:eastAsia="David"/>
          <w:rtl w:val="true"/>
        </w:rPr>
        <w:t xml:space="preserve">ק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7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ל</w:t>
      </w:r>
      <w:hyperlink r:id="rId2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ועבירה של ירי מנשק חם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עבירה לפי </w:t>
      </w:r>
      <w:hyperlink r:id="rId29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הסדר הטעון מתייחס אך ורק לתיקון כתב האישום ואינו כולל הסכמות לעניין העונש שיוטל על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u w:val="single"/>
        </w:rPr>
      </w:pPr>
      <w:r>
        <w:rPr>
          <w:rFonts w:ascii="David" w:hAnsi="David"/>
          <w:u w:val="single"/>
          <w:rtl w:val="true"/>
        </w:rPr>
        <w:t>אישום ראשון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25/05/22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לידיו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מאדם שזהותו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שסוגל לירות כדור ושבכוחו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מחסנית ובתוכה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הניח את הנשק מתחת למושב הנוסע הקדמי ברכב</w:t>
      </w:r>
      <w:r>
        <w:rPr>
          <w:rFonts w:ascii="David" w:hAnsi="David"/>
          <w:rtl w:val="true"/>
        </w:rPr>
        <w:t xml:space="preserve"> הסקודה שבבעלותו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לערך ביקש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להצטרף אליו לנסיעה לכפר זמר והשניים נסעו ברכב</w:t>
      </w:r>
      <w:r>
        <w:rPr>
          <w:rFonts w:ascii="David" w:hAnsi="David"/>
          <w:rtl w:val="true"/>
        </w:rPr>
        <w:t xml:space="preserve"> הסקודה</w:t>
      </w:r>
      <w:r>
        <w:rPr>
          <w:rFonts w:ascii="David" w:hAnsi="David"/>
          <w:rtl w:val="true"/>
        </w:rPr>
        <w:t xml:space="preserve"> על מנת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יחזיר את הנשק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נהג את הרכב כאמור לעיל והוביל בלא רשות על פי דין את הנשק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לצדו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אינו מודע בשלב זה להמצאות הנשק ברכב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 ובמהלך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שיתף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 הימצאות הנשק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ממנו להוציאו מתחת למושב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אחז </w:t>
      </w:r>
      <w:r>
        <w:rPr>
          <w:rFonts w:ascii="David" w:hAnsi="David"/>
          <w:rtl w:val="true"/>
        </w:rPr>
        <w:t>בנשק  וצילם אותו מספר פעמים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סמוך לקיבוץ מגל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שיצלם אותו מבצע ירי באמצעות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 את הנשק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שהוציא את ידו מבעד לחלון גג הרכב וירה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מהנשק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זאת בזמן הנסיעה וכאשר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מצלם</w:t>
      </w:r>
      <w:r>
        <w:rPr>
          <w:rFonts w:ascii="David" w:hAnsi="David"/>
          <w:rtl w:val="true"/>
        </w:rPr>
        <w:t xml:space="preserve"> אותו יורה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נאשמים </w:t>
      </w:r>
      <w:r>
        <w:rPr>
          <w:rFonts w:ascii="David" w:hAnsi="David"/>
          <w:rtl w:val="true"/>
        </w:rPr>
        <w:t xml:space="preserve">המשיכו </w:t>
      </w:r>
      <w:r>
        <w:rPr>
          <w:rFonts w:ascii="David" w:hAnsi="David"/>
          <w:rtl w:val="true"/>
        </w:rPr>
        <w:t>את נסיעתם לכפר זמר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מוביל את הנשק בלא רשות על פי דין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מסייע לו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בהגיעם לכפר זמר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הניח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הנשק ברכב שחנה 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לבקשת האחר והנאשמים עזבו את המקום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200"/>
        <w:ind w:start="720" w:end="0"/>
        <w:contextualSpacing/>
        <w:jc w:val="start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אישום שני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12/09/19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זמן קצר עובר ליום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רכשו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 רשות על פי דין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סוגל לירות כדור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מחסנית וכ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זאת בסכום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לערך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>").</w:t>
      </w:r>
      <w:r>
        <w:rPr>
          <w:rFonts w:ascii="David" w:hAnsi="David"/>
          <w:rtl w:val="true"/>
        </w:rPr>
        <w:t>הנאשמים החזיקו בנשק לתקופה של לפחות שבוע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החזיקו הנאשמים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כל אחד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הנאשמים באמצעות הנשק ירי שלא כדין של מספר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הנאשם האחר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start="720" w:end="0"/>
        <w:contextualSpacing/>
        <w:jc w:val="start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start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אישום שלישי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במועד שאינו ידוע למאשימה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כשנה עובר למעצרו רכש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 רשות על פי דין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סוגל לירות כדור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בסכום של בין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>").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 רכישת הנשק כאמור לעיל ועל מנת לבדוק את 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 שלא כדין של שלושה כדורים באמצעות הנשק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האמור לעיל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 להחזיק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מוסתר בארון חשמל במתחם של חברת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בזק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07/06/2022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חקירתו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הנשק עם 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שוטרי משטרת ישראל ואנשי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לאחר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פרטים על מיקומו של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</w:t>
      </w:r>
      <w:r>
        <w:rPr>
          <w:rFonts w:ascii="David" w:hAnsi="David" w:eastAsia="David"/>
          <w:b/>
          <w:b/>
          <w:bCs/>
          <w:u w:val="single"/>
          <w:rtl w:val="true"/>
        </w:rPr>
        <w:t>י</w:t>
      </w:r>
      <w:r>
        <w:rPr>
          <w:rFonts w:ascii="David" w:hAnsi="David" w:eastAsia="David"/>
          <w:b/>
          <w:b/>
          <w:bCs/>
          <w:u w:val="single"/>
          <w:rtl w:val="true"/>
        </w:rPr>
        <w:t xml:space="preserve"> טיעוני המאשימה לעונש</w:t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</w:t>
      </w:r>
      <w:r>
        <w:rPr>
          <w:rFonts w:ascii="David" w:hAnsi="David" w:eastAsia="Calibri"/>
          <w:rtl w:val="true"/>
        </w:rPr>
        <w:t xml:space="preserve">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אורח חיים 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שליו ובטוח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המחוקק עצמו </w:t>
      </w:r>
      <w:r>
        <w:rPr>
          <w:rFonts w:ascii="David" w:hAnsi="David" w:eastAsia="Calibri"/>
          <w:rtl w:val="true"/>
        </w:rPr>
        <w:t>נרתם לצורך ב</w:t>
      </w:r>
      <w:r>
        <w:rPr>
          <w:rFonts w:ascii="David" w:hAnsi="David" w:eastAsia="Calibri"/>
          <w:rtl w:val="true"/>
        </w:rPr>
        <w:t xml:space="preserve">החמרה </w:t>
      </w:r>
      <w:r>
        <w:rPr>
          <w:rFonts w:ascii="David" w:hAnsi="David" w:eastAsia="Calibri"/>
          <w:rtl w:val="true"/>
        </w:rPr>
        <w:t xml:space="preserve"> וקבע עונשי מינימום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 תופעת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</w:t>
      </w:r>
      <w:r>
        <w:rPr>
          <w:rFonts w:ascii="David" w:hAnsi="David" w:eastAsia="Calibri"/>
          <w:rtl w:val="true"/>
        </w:rPr>
        <w:t>הדגישה את העובדה כי הנאשם ביצע עבירות מגוונת בשלושה נשקים שונים במהלך תקופה ארוכה בת כשנה וחצי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מהלכה </w:t>
      </w:r>
      <w:r>
        <w:rPr>
          <w:rFonts w:ascii="David" w:hAnsi="David" w:eastAsia="Calibri"/>
          <w:rtl w:val="true"/>
        </w:rPr>
        <w:t>הוא רכש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והוביל וסייע בנשיאה והובלת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ביצע ירי באמצעות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ציינה כי </w:t>
      </w:r>
      <w:r>
        <w:rPr>
          <w:rFonts w:ascii="David" w:hAnsi="David" w:eastAsia="Calibri"/>
          <w:rtl w:val="true"/>
        </w:rPr>
        <w:t>הסיבות להחזקת הנ</w:t>
      </w:r>
      <w:r>
        <w:rPr>
          <w:rFonts w:ascii="David" w:hAnsi="David" w:eastAsia="Calibri"/>
          <w:rtl w:val="true"/>
        </w:rPr>
        <w:t>שק נותר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לוט</w:t>
      </w:r>
      <w:r>
        <w:rPr>
          <w:rFonts w:ascii="David" w:hAnsi="David" w:eastAsia="Calibri"/>
          <w:rtl w:val="true"/>
        </w:rPr>
        <w:t>ות</w:t>
      </w:r>
      <w:r>
        <w:rPr>
          <w:rFonts w:ascii="David" w:hAnsi="David" w:eastAsia="Calibri"/>
          <w:rtl w:val="true"/>
        </w:rPr>
        <w:t xml:space="preserve"> בערפל ואין זה מן הנמנע שהנאשם תכנן להשתמש בו למטרות לא כשרות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כי אמנם הנסיבות המפורטות בכתב האישום המתוקן 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מעידות על מעשה ספונטני כאשר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 היה מודע לקיומו של הנשק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להתעלם מתגובתו המעודדת של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והקלות בה נגרר לביצוע עבירות בנשק בצוותא עם הנאשם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לגבי אישומים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ציינה </w:t>
      </w:r>
      <w:r>
        <w:rPr>
          <w:rFonts w:ascii="David" w:hAnsi="David" w:eastAsia="Calibri"/>
          <w:rtl w:val="true"/>
        </w:rPr>
        <w:t xml:space="preserve">המאשימה </w:t>
      </w:r>
      <w:r>
        <w:rPr>
          <w:rFonts w:ascii="David" w:hAnsi="David" w:eastAsia="Calibri"/>
          <w:rtl w:val="true"/>
        </w:rPr>
        <w:t>כי מדובר באירועים מתוכננים ומאורגנים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העבירות בוצעו באופן עצמאי ובלעדי כאשר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רכש נשקים בתקופות שונות וביצע ירי באמצעותם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נטען כי הנאשם יכול היה לחדול ממעשיו בכל עת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אך הוא לא עשה כן וחזר וביצע 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את הנזק שעלול להיגרם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בדגש על עבירת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מבהלה ופגיעות בגוף וכלה בקיפוח חיים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לתסקיר שירות המבחן אשר העריך כי לא ניתן לשלול חזרה על התנהגות דומה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והעדר</w:t>
      </w:r>
      <w:r>
        <w:rPr>
          <w:rFonts w:ascii="David" w:hAnsi="David" w:eastAsia="Calibri"/>
          <w:rtl w:val="true"/>
        </w:rPr>
        <w:t>ה של</w:t>
      </w:r>
      <w:r>
        <w:rPr>
          <w:rFonts w:ascii="David" w:hAnsi="David" w:eastAsia="Calibri"/>
          <w:rtl w:val="true"/>
        </w:rPr>
        <w:t xml:space="preserve"> המלצה טיפולית במסגרת הקהילה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לגילו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הודאתו בעובדות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בזמן שיפוטי 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הפנתה לפסיקה ביחס למדיניות הענישה הנוהגת וביקשה לקבוע </w:t>
      </w:r>
      <w:r>
        <w:rPr>
          <w:rFonts w:ascii="David" w:hAnsi="David" w:eastAsia="Calibri"/>
          <w:rtl w:val="true"/>
        </w:rPr>
        <w:t>מתחם ענישה נפרד ביחס לכל אחד מהאישומים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ביחס 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עליו חל 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לקבוע מתחם עונש הולם אשר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למתחם </w:t>
      </w:r>
      <w:r>
        <w:rPr>
          <w:rFonts w:ascii="David" w:hAnsi="David" w:eastAsia="Calibri"/>
          <w:rtl w:val="true"/>
        </w:rPr>
        <w:t>שנ</w:t>
      </w:r>
      <w:r>
        <w:rPr>
          <w:rFonts w:ascii="David" w:hAnsi="David" w:eastAsia="Calibri"/>
          <w:rtl w:val="true"/>
        </w:rPr>
        <w:t xml:space="preserve">ע בין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בצד ענישה נלווית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וביחס לאישום 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למתחם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מתחמי 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למקם את עונשו של הנאשם ברף התחתון של כל מתחם ולצבור את</w:t>
      </w:r>
      <w:r>
        <w:rPr>
          <w:rFonts w:ascii="David" w:hAnsi="David" w:eastAsia="Calibri"/>
          <w:rtl w:val="true"/>
        </w:rPr>
        <w:t xml:space="preserve"> עונשי המאסר שיוטלו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David" w:hAnsi="David" w:eastAsia="David"/>
          <w:b/>
          <w:b/>
          <w:bCs/>
          <w:u w:val="single"/>
          <w:rtl w:val="true"/>
        </w:rPr>
        <w:t>עיקר</w:t>
      </w:r>
      <w:r>
        <w:rPr>
          <w:rFonts w:ascii="David" w:hAnsi="David" w:eastAsia="David"/>
          <w:b/>
          <w:b/>
          <w:bCs/>
          <w:u w:val="single"/>
          <w:rtl w:val="true"/>
        </w:rPr>
        <w:t>י</w:t>
      </w:r>
      <w:r>
        <w:rPr>
          <w:rFonts w:ascii="David" w:hAnsi="David" w:eastAsia="David"/>
          <w:b/>
          <w:b/>
          <w:bCs/>
          <w:u w:val="single"/>
          <w:rtl w:val="true"/>
        </w:rPr>
        <w:t xml:space="preserve"> טיעוני הנאשם </w:t>
      </w:r>
      <w:r>
        <w:rPr>
          <w:rFonts w:eastAsia="David" w:cs="David" w:ascii="David" w:hAnsi="David"/>
          <w:b/>
          <w:bCs/>
          <w:u w:val="single"/>
        </w:rPr>
        <w:t>2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לקבלת האחריות ולנסיבותיו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לעובדה כי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ניהל חיים נורמטיביים טרם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להתארס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מסייע לזולת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מסייע </w:t>
      </w:r>
      <w:r>
        <w:rPr>
          <w:rFonts w:ascii="David" w:hAnsi="David" w:eastAsia="Calibri"/>
          <w:rtl w:val="true"/>
        </w:rPr>
        <w:t>לחברו הנכה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ותומך במשפחה אבלה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לאמור בתסקיר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לראות</w:t>
      </w:r>
      <w:r>
        <w:rPr>
          <w:rFonts w:ascii="David" w:hAnsi="David" w:eastAsia="Calibri"/>
          <w:rtl w:val="true"/>
        </w:rPr>
        <w:t xml:space="preserve"> בו תסקיר</w:t>
      </w:r>
      <w:r>
        <w:rPr>
          <w:rFonts w:ascii="David" w:hAnsi="David" w:eastAsia="Calibri"/>
          <w:rtl w:val="true"/>
        </w:rPr>
        <w:t xml:space="preserve"> חיובי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לגבי 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אין מדובר במעשה ש</w:t>
      </w:r>
      <w:r>
        <w:rPr>
          <w:rFonts w:ascii="David" w:hAnsi="David" w:eastAsia="Calibri"/>
          <w:rtl w:val="true"/>
        </w:rPr>
        <w:t xml:space="preserve">לא </w:t>
      </w:r>
      <w:r>
        <w:rPr>
          <w:rFonts w:ascii="David" w:hAnsi="David" w:eastAsia="Calibri"/>
          <w:rtl w:val="true"/>
        </w:rPr>
        <w:t>קד</w:t>
      </w:r>
      <w:r>
        <w:rPr>
          <w:rFonts w:ascii="David" w:hAnsi="David" w:eastAsia="Calibri"/>
          <w:rtl w:val="true"/>
        </w:rPr>
        <w:t xml:space="preserve">מו </w:t>
      </w:r>
      <w:r>
        <w:rPr>
          <w:rFonts w:ascii="David" w:hAnsi="David" w:eastAsia="Calibri"/>
          <w:rtl w:val="true"/>
        </w:rPr>
        <w:t xml:space="preserve">לו </w:t>
      </w:r>
      <w:r>
        <w:rPr>
          <w:rFonts w:ascii="David" w:hAnsi="David" w:eastAsia="Calibri"/>
          <w:rtl w:val="true"/>
        </w:rPr>
        <w:t xml:space="preserve">כל </w:t>
      </w:r>
      <w:r>
        <w:rPr>
          <w:rFonts w:ascii="David" w:hAnsi="David" w:eastAsia="Calibri"/>
          <w:rtl w:val="true"/>
        </w:rPr>
        <w:t>הכנה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עזרה </w:t>
      </w:r>
      <w:r>
        <w:rPr>
          <w:rFonts w:ascii="David" w:hAnsi="David" w:eastAsia="Calibri"/>
          <w:rtl w:val="true"/>
        </w:rPr>
        <w:t xml:space="preserve"> או </w:t>
      </w:r>
      <w:r>
        <w:rPr>
          <w:rFonts w:ascii="David" w:hAnsi="David" w:eastAsia="Calibri"/>
          <w:rtl w:val="true"/>
        </w:rPr>
        <w:t>תכנון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בהקשר זה טען </w:t>
      </w:r>
      <w:r>
        <w:rPr>
          <w:rFonts w:ascii="David" w:hAnsi="David" w:eastAsia="Calibri"/>
          <w:rtl w:val="true"/>
        </w:rPr>
        <w:t>כי מדובר בעבירה שהייתה יכולה לה</w:t>
      </w:r>
      <w:r>
        <w:rPr>
          <w:rFonts w:ascii="David" w:hAnsi="David" w:eastAsia="Calibri"/>
          <w:rtl w:val="true"/>
        </w:rPr>
        <w:t>תרחש</w:t>
      </w:r>
      <w:r>
        <w:rPr>
          <w:rFonts w:ascii="David" w:hAnsi="David" w:eastAsia="Calibri"/>
          <w:rtl w:val="true"/>
        </w:rPr>
        <w:t xml:space="preserve"> ללא נוכחות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לא מדובר בעבירת סיוע קלאסית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במי שהופתע לגלות את דבר קיומו של הנשק במהלך הנסיעה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של הנאשם באותו אירוע קטן יחסית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טען למתחם עונש הולם </w:t>
      </w:r>
      <w:r>
        <w:rPr>
          <w:rFonts w:ascii="David" w:hAnsi="David" w:eastAsia="Calibri"/>
          <w:rtl w:val="true"/>
        </w:rPr>
        <w:t>שבין מ</w:t>
      </w:r>
      <w:r>
        <w:rPr>
          <w:rFonts w:ascii="David" w:hAnsi="David" w:eastAsia="Calibri"/>
          <w:rtl w:val="true"/>
        </w:rPr>
        <w:t xml:space="preserve">ספר חודשי מאסר ועד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בהקשר זה הפנה להלכה לפיה אין לקבוע באופן אוטומטי ביחס לעבירת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סיוע  </w:t>
      </w:r>
      <w:r>
        <w:rPr>
          <w:rFonts w:ascii="David" w:hAnsi="David" w:eastAsia="Calibri"/>
          <w:rtl w:val="true"/>
        </w:rPr>
        <w:t xml:space="preserve">מחצית </w:t>
      </w:r>
      <w:r>
        <w:rPr>
          <w:rFonts w:ascii="David" w:hAnsi="David" w:eastAsia="Calibri"/>
          <w:rtl w:val="true"/>
        </w:rPr>
        <w:t xml:space="preserve"> מעונשו של המבצע העיקרי</w:t>
      </w:r>
      <w:r>
        <w:rPr>
          <w:rFonts w:ascii="David" w:hAnsi="David" w:eastAsia="Calibri"/>
          <w:rtl w:val="true"/>
        </w:rPr>
        <w:t xml:space="preserve"> ויש לתת משקל לחלקו היחסי של המסייע ומהות הסיוע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ציין כי נסיבות ביצוע העבירות </w:t>
      </w:r>
      <w:r>
        <w:rPr>
          <w:rFonts w:ascii="David" w:hAnsi="David" w:eastAsia="Calibri"/>
          <w:rtl w:val="true"/>
        </w:rPr>
        <w:t xml:space="preserve">קרובות יותר לעבירה של </w:t>
      </w:r>
      <w:r>
        <w:rPr>
          <w:rFonts w:ascii="David" w:hAnsi="David" w:eastAsia="Calibri"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מאשר לנשיאה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וטען למתחם עונש הולם </w:t>
      </w:r>
      <w:r>
        <w:rPr>
          <w:rFonts w:ascii="David" w:hAnsi="David" w:eastAsia="Calibri"/>
          <w:rtl w:val="true"/>
        </w:rPr>
        <w:t xml:space="preserve"> שבין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</w:t>
      </w:r>
      <w:r>
        <w:rPr>
          <w:rFonts w:ascii="David" w:hAnsi="David" w:eastAsia="Calibri"/>
          <w:rtl w:val="true"/>
        </w:rPr>
        <w:t>אישום 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הנסיבות שם דומות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הנאשם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רכש נשק וביקש לבדוק את כשירותו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וביקש לקבוע מתחם עונש </w:t>
      </w:r>
      <w:r>
        <w:rPr>
          <w:rFonts w:ascii="David" w:hAnsi="David" w:eastAsia="Calibri"/>
          <w:rtl w:val="true"/>
        </w:rPr>
        <w:t xml:space="preserve">שבין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בשאלת קביעת </w:t>
      </w:r>
      <w:r>
        <w:rPr>
          <w:rFonts w:ascii="David" w:hAnsi="David" w:eastAsia="Calibri"/>
          <w:rtl w:val="true"/>
        </w:rPr>
        <w:t xml:space="preserve">מתחם עונש </w:t>
      </w:r>
      <w:r>
        <w:rPr>
          <w:rFonts w:ascii="David" w:hAnsi="David" w:eastAsia="Calibri"/>
          <w:rtl w:val="true"/>
        </w:rPr>
        <w:t>הולם אחד או קביעת מתחם נפרד ביחס לכל 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סבר שנכון לקבוע מתחם ענישה נפרד ביחס ל</w:t>
      </w:r>
      <w:r>
        <w:rPr>
          <w:rFonts w:ascii="David" w:hAnsi="David" w:eastAsia="Calibri"/>
          <w:rtl w:val="true"/>
        </w:rPr>
        <w:t>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ככל שייקבע </w:t>
      </w:r>
      <w:r>
        <w:rPr>
          <w:rFonts w:ascii="David" w:hAnsi="David" w:eastAsia="Calibri"/>
          <w:rtl w:val="true"/>
        </w:rPr>
        <w:t xml:space="preserve">מתחם </w:t>
      </w:r>
      <w:r>
        <w:rPr>
          <w:rFonts w:ascii="David" w:hAnsi="David" w:eastAsia="Calibri"/>
          <w:rtl w:val="true"/>
        </w:rPr>
        <w:t xml:space="preserve"> ענישה אחד ביחס לאישומים השני והשלישי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נכון שיתחיל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ציין כי ככל שייקבעו מתחמים נפרדים על בית המשפט </w:t>
      </w:r>
      <w:r>
        <w:rPr>
          <w:rFonts w:ascii="David" w:hAnsi="David" w:eastAsia="Calibri"/>
          <w:rtl w:val="true"/>
        </w:rPr>
        <w:t>לקבוע את מידת החפיפה בין העונשים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הדגיש את </w:t>
      </w:r>
      <w:r>
        <w:rPr>
          <w:rFonts w:ascii="David" w:hAnsi="David" w:eastAsia="Calibri"/>
          <w:rtl w:val="true"/>
        </w:rPr>
        <w:t xml:space="preserve">שיתוף הפעולה </w:t>
      </w:r>
      <w:r>
        <w:rPr>
          <w:rFonts w:ascii="David" w:hAnsi="David" w:eastAsia="Calibri"/>
          <w:rtl w:val="true"/>
        </w:rPr>
        <w:t xml:space="preserve">המלא </w:t>
      </w:r>
      <w:r>
        <w:rPr>
          <w:rFonts w:ascii="David" w:hAnsi="David" w:eastAsia="Calibri"/>
          <w:rtl w:val="true"/>
        </w:rPr>
        <w:t>של הנאשם עם היחידה החוקר</w:t>
      </w:r>
      <w:r>
        <w:rPr>
          <w:rFonts w:ascii="David" w:hAnsi="David" w:eastAsia="Calibri"/>
          <w:rtl w:val="true"/>
        </w:rPr>
        <w:t>ת וציין כי  ללא שיתוף הפעולה המלא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האישום השלישי</w:t>
      </w:r>
      <w:r>
        <w:rPr>
          <w:rFonts w:ascii="David" w:hAnsi="David" w:eastAsia="Calibri"/>
          <w:rtl w:val="true"/>
        </w:rPr>
        <w:t xml:space="preserve"> לא היה מוגש והנשק לא היה נתפס אלמלא הנאשם היה מוביל את החוקרים למקום המסתור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ציין כי התנהלות הנאשם בחקירה </w:t>
      </w:r>
      <w:r>
        <w:rPr>
          <w:rFonts w:ascii="David" w:hAnsi="David" w:eastAsia="Calibri"/>
          <w:rtl w:val="true"/>
        </w:rPr>
        <w:t>ממחיש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rtl w:val="true"/>
        </w:rPr>
        <w:t>עומק קבלת האחריות של הנאשם ונכונותו לפתוח דף חדש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בהתאם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להטיל עליו עונש כולל שלא יעלה על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בניכוי ימי מעצרו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  חברו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 באסם ענבוסי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העזרה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התמיכה הרבה והטיפול שקיבל מהנאשם </w:t>
      </w:r>
      <w:r>
        <w:rPr>
          <w:rFonts w:ascii="David" w:hAnsi="David" w:eastAsia="Calibri"/>
          <w:rtl w:val="true"/>
        </w:rPr>
        <w:t>לאחר פציעתו הקשה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עזרה שכללה הסעה לבדיקות ולטיפולי השיקום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עזרה במעברים מכיסא הגלגלים למיטה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יציאה עמו לטיולים ובכלל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 מר מג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 קעדאן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על התמיכה הנפשית והעזרה שקיבלו</w:t>
      </w:r>
      <w:r>
        <w:rPr>
          <w:rFonts w:ascii="David" w:hAnsi="David" w:eastAsia="Calibri"/>
          <w:rtl w:val="true"/>
        </w:rPr>
        <w:t xml:space="preserve"> הוא ומשפחתו </w:t>
      </w:r>
      <w:r>
        <w:rPr>
          <w:rFonts w:ascii="David" w:hAnsi="David" w:eastAsia="Calibri"/>
          <w:rtl w:val="true"/>
        </w:rPr>
        <w:t xml:space="preserve">מהנאשם </w:t>
      </w:r>
      <w:r>
        <w:rPr>
          <w:rFonts w:ascii="David" w:hAnsi="David" w:eastAsia="Calibri"/>
          <w:rtl w:val="true"/>
        </w:rPr>
        <w:t>לאחר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 xml:space="preserve">בנם נהרג בתאונת אופנוע לפני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ציין כי הוא ומשפחתו רואים בנאשם כבן משפחה והופתעו מאוד ממעצרו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הפנים את טעותו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טרם מעצרו ניהל אורח חיים נורמטיבי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בנה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עתיד להתחתן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לפתוח דף חדש</w:t>
      </w:r>
      <w:r>
        <w:rPr>
          <w:rFonts w:ascii="David" w:hAnsi="David" w:eastAsia="Calibri"/>
          <w:rtl w:val="true"/>
        </w:rPr>
        <w:t xml:space="preserve"> ולנהל אורח חיים נורמטיבי כאדם ישר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142" w:start="567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תסקיר שירות מבחן</w:t>
      </w:r>
      <w:r>
        <w:rPr>
          <w:rFonts w:eastAsia="David"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נאשם </w:t>
      </w:r>
      <w:r>
        <w:rPr>
          <w:rFonts w:eastAsia="David" w:cs="David" w:ascii="David" w:hAnsi="David"/>
          <w:b/>
          <w:bCs/>
          <w:u w:val="single"/>
        </w:rPr>
        <w:t>2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בתסקיר שירות המבחן שהוגש בעניינו של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פורטו בהרחבה נסיבותיו האישיות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מהתסקיר עולה כי הנאשם מקבל אחריות מלאה על התנהלותו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ביטא חרטה עמוקה על מעשיו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והסביר כי התנהלות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  אינה מאפיינת אותו ואת אורח חייו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ביטא רצון לאורח חיים נורמטיבי ומתפקד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זאת תוך הבנה כי בחירותיו ומעשיו גרמו לו ולסביבתו</w:t>
      </w:r>
      <w:r>
        <w:rPr>
          <w:rFonts w:ascii="David" w:hAnsi="David" w:eastAsia="David"/>
          <w:rtl w:val="true"/>
        </w:rPr>
        <w:t xml:space="preserve"> נזק רב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שירות המבחן התרשם כי הנאשם בעל מוקד שליטה חיצוני </w:t>
      </w:r>
      <w:r>
        <w:rPr>
          <w:rFonts w:ascii="David" w:hAnsi="David" w:eastAsia="David"/>
          <w:rtl w:val="true"/>
        </w:rPr>
        <w:t xml:space="preserve">והוא פעל </w:t>
      </w:r>
      <w:r>
        <w:rPr>
          <w:rFonts w:ascii="David" w:hAnsi="David" w:eastAsia="David"/>
          <w:rtl w:val="true"/>
        </w:rPr>
        <w:t>באופן אימפולסיבי וללא חשיבה על השלכות מעשיו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וזאת בעקבות רצונו לגבש את זהותו הגברית תוך קושי בבחינת אלטרנטיביות להתנהלותו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וניכר כי כיום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ascii="David" w:hAnsi="David" w:eastAsia="David"/>
          <w:rtl w:val="true"/>
        </w:rPr>
        <w:t>מבין שפעל באופן בעייתי ללא חשיבה מעמיקה על מעשיו והשלכותיהם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שירות המבחן עוד התרשם מביטויי מוטיבציה ראשוניים </w:t>
      </w:r>
      <w:r>
        <w:rPr>
          <w:rFonts w:ascii="David" w:hAnsi="David" w:eastAsia="David"/>
          <w:rtl w:val="true"/>
        </w:rPr>
        <w:t xml:space="preserve">מצד הנאשם </w:t>
      </w:r>
      <w:r>
        <w:rPr>
          <w:rFonts w:ascii="David" w:hAnsi="David" w:eastAsia="David"/>
          <w:rtl w:val="true"/>
        </w:rPr>
        <w:t>להשתלב במסגרת טיפולית משמעותית שתסייע לו לבחון את עצמו ואת התנהלותו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לרכוש כלים להתמודדות טובה יותר עם מצבי קושי בעתיד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הצורך בעריכת שינוי מהותי באורחות חייו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 המבחן העריך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ההליכים הנוכחיים מהווים עבור הנאשם גורם הרתעה משמעותי לטווח הקצר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הוערך כי לא ניתן לשלול חזרה על התנהגות דומה בעתיד וכי קיימת חשיבות בהליך טיפולי תוך חיזוק יכולותיו וכוחותיו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במטרה לצמצם את הסיכון לחזרה על התנהגות פורצת גבולות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לא בא בהמלצה טיפולית בעניינו של הנאשם במסגרת הקהילה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הומלץ לשבצו בתוכנית טיפולית במסגרת מאסרו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31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3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34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</w:t>
      </w:r>
      <w:r>
        <w:rPr>
          <w:rFonts w:ascii="David" w:hAnsi="David" w:eastAsia="David"/>
          <w:rtl w:val="true"/>
        </w:rPr>
        <w:t xml:space="preserve">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>;</w:t>
      </w:r>
      <w:r>
        <w:rPr>
          <w:rFonts w:eastAsia="David" w:cs="David" w:ascii="David" w:hAnsi="David"/>
          <w:rtl w:val="true"/>
          <w:lang w:eastAsia="he-IL"/>
        </w:rPr>
        <w:t xml:space="preserve">  </w:t>
      </w:r>
      <w:r>
        <w:rPr>
          <w:rFonts w:ascii="David" w:hAnsi="David" w:eastAsia="David"/>
          <w:rtl w:val="true"/>
          <w:lang w:eastAsia="he-IL"/>
        </w:rPr>
        <w:t xml:space="preserve">על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</w:t>
      </w:r>
      <w:r>
        <w:rPr>
          <w:rFonts w:ascii="David" w:hAnsi="David" w:eastAsia="David"/>
          <w:rtl w:val="true"/>
          <w:lang w:eastAsia="he-IL"/>
        </w:rPr>
        <w:t xml:space="preserve"> ו</w:t>
      </w:r>
      <w:r>
        <w:rPr>
          <w:rFonts w:ascii="David" w:hAnsi="David" w:eastAsia="David"/>
          <w:rtl w:val="true"/>
          <w:lang w:eastAsia="he-IL"/>
        </w:rPr>
        <w:t>נפש</w:t>
      </w:r>
      <w:r>
        <w:rPr>
          <w:rFonts w:eastAsia="David" w:cs="David" w:ascii="David" w:hAnsi="David"/>
          <w:rtl w:val="true"/>
          <w:lang w:eastAsia="he-IL"/>
        </w:rPr>
        <w:t>,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3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3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3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3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4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4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42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אישום </w:t>
      </w:r>
      <w:r>
        <w:rPr>
          <w:rFonts w:ascii="David" w:hAnsi="David" w:eastAsia="Calibri"/>
          <w:u w:val="single"/>
          <w:rtl w:val="true"/>
        </w:rPr>
        <w:t>ראשון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חלקו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בעבירת הסיוע לנשיאת והובלת הנשק התבטא בהוצאת הנשק מתחת למושב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לבקשת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ונשיאתו והובלתו  של הנשק כמי שנכח ברכב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אין חולק כי לא מדובר </w:t>
      </w:r>
      <w:r>
        <w:rPr>
          <w:rFonts w:ascii="David" w:hAnsi="David" w:eastAsia="Calibri"/>
          <w:rtl w:val="true"/>
        </w:rPr>
        <w:t>באירוע מתוכנן</w:t>
      </w:r>
      <w:r>
        <w:rPr>
          <w:rFonts w:ascii="David" w:hAnsi="David" w:eastAsia="Calibri"/>
          <w:rtl w:val="true"/>
        </w:rPr>
        <w:t xml:space="preserve"> מצד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שלא ידע מראש על הימצאות הנשק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וגם לא ידע על כך עת עלה לרכב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עובדת הימצאותו של הנשק ברכב  נודעה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רק במהלך הנסיעה בעקבות פנייתו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גם לא ידע מה הייתה מטרת הנסיעה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החזרת הנשק לאחר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ולא נהג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זה שתכנן את ביצוע העבירות ויזם אותן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זה  שקיבל את הנשק מהאחר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הטמין אותו מתחת למושב הנוסע הקדמי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זה שהיה מודע למטרת הנסיעה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טענת ההגנה לפיה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"</w:t>
      </w:r>
      <w:r>
        <w:rPr>
          <w:rFonts w:ascii="David" w:hAnsi="David" w:eastAsia="Calibri"/>
          <w:rtl w:val="true"/>
        </w:rPr>
        <w:t>נגרר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אינה מופרכת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hd w:fill="FFFFFF" w:val="clear"/>
        <w:spacing w:lineRule="atLeast" w:line="360" w:before="0" w:after="0"/>
        <w:ind w:start="720" w:end="0"/>
        <w:contextualSpacing/>
        <w:jc w:val="both"/>
        <w:rPr>
          <w:rFonts w:ascii="David" w:hAnsi="David" w:eastAsia="Calibri" w:cs="David"/>
          <w:spacing w:val="10"/>
        </w:rPr>
      </w:pPr>
      <w:r>
        <w:rPr>
          <w:rFonts w:ascii="David" w:hAnsi="David" w:eastAsia="Calibri"/>
          <w:spacing w:val="10"/>
          <w:rtl w:val="true"/>
        </w:rPr>
        <w:t xml:space="preserve">בצד עבירת הסיוע קבוע עונש </w:t>
      </w:r>
      <w:r>
        <w:rPr>
          <w:rFonts w:ascii="David" w:hAnsi="David" w:eastAsia="Calibri"/>
          <w:spacing w:val="10"/>
          <w:rtl w:val="true"/>
        </w:rPr>
        <w:t xml:space="preserve">מקסימלי </w:t>
      </w:r>
      <w:r>
        <w:rPr>
          <w:rFonts w:ascii="David" w:hAnsi="David" w:eastAsia="Calibri"/>
          <w:spacing w:val="10"/>
          <w:rtl w:val="true"/>
        </w:rPr>
        <w:t>שגובהו מחצית מעונשו של המבצע העיקרי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ויש להביא זאת בחשבון במסגרת קביעת מתחם העונש ההולם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>עם זאת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לא מדובר בחישוב אריתמטי בהכרח ויש להביא בחשבון את כלל הנסיבות לרבות חלקו של המסייע בביצוע העבירה</w:t>
      </w:r>
      <w:r>
        <w:rPr>
          <w:rFonts w:eastAsia="Calibri" w:cs="David" w:ascii="David" w:hAnsi="David"/>
          <w:spacing w:val="1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ר</w:t>
      </w:r>
      <w:r>
        <w:rPr>
          <w:rFonts w:eastAsia="Calibri" w:cs="David" w:ascii="David" w:hAnsi="David"/>
          <w:spacing w:val="10"/>
          <w:rtl w:val="true"/>
        </w:rPr>
        <w:t xml:space="preserve">' </w:t>
      </w:r>
      <w:r>
        <w:rPr>
          <w:rFonts w:ascii="David" w:hAnsi="David" w:eastAsia="Calibri"/>
          <w:spacing w:val="10"/>
          <w:rtl w:val="true"/>
        </w:rPr>
        <w:t xml:space="preserve">בהקשר זה  </w:t>
      </w:r>
      <w:hyperlink r:id="rId43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u w:val="single"/>
          </w:rPr>
          <w:t>4463/12</w:t>
        </w:r>
      </w:hyperlink>
      <w:r>
        <w:rPr>
          <w:rFonts w:eastAsia="Calibri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ארנבורג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spacing w:val="10"/>
          <w:u w:val="single"/>
          <w:rtl w:val="true"/>
        </w:rPr>
        <w:t xml:space="preserve"> </w:t>
      </w:r>
      <w:r>
        <w:rPr>
          <w:rFonts w:eastAsia="Calibri" w:cs="David" w:ascii="David" w:hAnsi="David"/>
          <w:spacing w:val="1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חלקו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הנשק לא היה מבוטל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הוא אחז בנשק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צילם אותו ומסר אותו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כאן חלקו היה קטן באופן משמעותי  מחלקו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כפי שעולה מעובדות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ובפרט העובדה שעשה כן לבקשת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ולפרק זמן קצר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חלקו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בביצוע הירי היה כמבצע בצוותא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וחלקו היה קטן באופן משמעותי מחלקו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 יזם את ביצוע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ביצע את הירי בפועל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וחלקו התבטא בעצם נוכחותו ברכב בזמן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וצילום אירוע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תמך באופן מלא במעשיו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שיתף עמו פעולה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ובעצם צילום הירי גילה הזדהות מלאה עם פעולותיו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אישום </w:t>
      </w:r>
      <w:r>
        <w:rPr>
          <w:rFonts w:ascii="David" w:hAnsi="David" w:eastAsia="David"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הנאשמים רכשו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תת מקלע מאולתר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מחסנית ומאה 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פי עובדות כתב האישום הנאשמים החזיקו בנשק  למשך כשבוע במהלכו ביצע כל אחד ירי של מספר 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חלקו של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זהה לזה של 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באירוע מתוכנן מראש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שכלל מספר עבירות נשק חמורות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בנשק מסוג תת מקלע שפוטנציאל הנזק הטמון בו רב וקטלני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 xml:space="preserve">בכתב האישום אין תיאור עובדתי  בכל הנוגע לאופן נשיאתו של הנשק ופרק הזמן בו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נשא את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ובהתאם יש להניח לטובתו כי מדובר בנשיאה קצרת זמן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אמנם הנאשמים לא החזיקו בנשק לפרק זמן ארוך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שבוע ימים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אך לא מדובר בהכרח בנסיבה מקילה הנובעת מחרטה או טעמים חיוביים אחרים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אישום שלישי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עובדות אישום זה דומות לאישום השני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למעט עבירה של נשיאה והובלה שלא יוחסה לנאשם במקרה זה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אלא שבמקרה זה חלקו של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הינו בלעדי ולא היו לו כל שותפים לביצוע העבירות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באירוע מתוכנן של רכישת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החזקתו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ושימוש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ירי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לצורך בדיקת תקינותו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במקרה זה מדובר בנשק מסוג תת מקלע שפוטנציאל הנזק הטמון בו רב ביותר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במקרה זה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גילה למשטרה את מקום מסתור הנשק שנתפס ביחד עם המחסנית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ומדובר בנסיבה מקלה שכן לא יעשה יותר שימוש בנשק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כך גם אין להניח לחובתו של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כי הוא החזיק בנשק לתקופה ממושכת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אם מועד רכישתו אינו ידוע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נסיבות כלליות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האירועים בוצע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הירי לא בוצע במטרה לפגוע באדם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ובפועל לא נגרם נזק לגוף או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בנסיבה מקלה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שמדובר בנאשם שאינו מורשה לשאת נשק או לעשות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הנזק מירי גם אם אינו מכוון עלול להיות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קטלני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בנוסף אין להתעלם מכך שמעשיו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 השני והשלישי נוגעים לקשת רחבה של עבירות נשק החל מרכישה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דרך החזקה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ונשיאה באישום השני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וכלה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עובדה המצביעה על מעורבות עמוקה יחסית בנוגע לעבירות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לרבות הנסיבות לקולה ולחומרה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אני סבור כי במקרה זה </w:t>
      </w:r>
      <w:r>
        <w:rPr>
          <w:rFonts w:ascii="David" w:hAnsi="David" w:eastAsia="David"/>
          <w:rtl w:val="true"/>
        </w:rPr>
        <w:t>מידת ה</w:t>
      </w:r>
      <w:r>
        <w:rPr>
          <w:rFonts w:ascii="David" w:hAnsi="David" w:eastAsia="David"/>
          <w:rtl w:val="true"/>
        </w:rPr>
        <w:t xml:space="preserve">פגיעה בערכים המוגנים ביחס לאישום הראשון </w:t>
      </w:r>
      <w:r>
        <w:rPr>
          <w:rFonts w:ascii="David" w:hAnsi="David" w:eastAsia="David"/>
          <w:rtl w:val="true"/>
        </w:rPr>
        <w:t>מצויה ברף נמוך עד בינוני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ביחס לאישום 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הפגיעה בערכים המוגנים מצויה ברף בינוני ומעלה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וביחס לאישום השלישי מידת </w:t>
      </w:r>
      <w:r>
        <w:rPr>
          <w:rFonts w:ascii="David" w:hAnsi="David" w:eastAsia="David"/>
          <w:rtl w:val="true"/>
        </w:rPr>
        <w:t xml:space="preserve">הפגיעה בערכים המוגנים </w:t>
      </w:r>
      <w:r>
        <w:rPr>
          <w:rFonts w:ascii="David" w:hAnsi="David"/>
          <w:rtl w:val="true"/>
        </w:rPr>
        <w:t>מצויה ברף הבינוני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מהטעם שהנאשם חשף את מקום מחבוא הנשק ולא יוחסה לו באישום זה עבירה של נשיאה והובלת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30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אירוע אחד או מספר אירועים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160"/>
        <w:ind w:hanging="360" w:start="72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המתוקן מכיל שלושה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לבחון האם מדובר בעבירות המהוות אירוע אחד או מספר 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לקבוע מתחם ענישה הולם לכל אירוע בנפרד או לכלל האירועים יחדיו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בהתאם </w:t>
      </w:r>
      <w:hyperlink r:id="rId44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4910/13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אבר נגד מדינת ישראל</w:t>
      </w:r>
      <w:r>
        <w:rPr>
          <w:rFonts w:ascii="David" w:hAnsi="David"/>
          <w:rtl w:val="true"/>
        </w:rPr>
        <w:t xml:space="preserve"> דן בשאלת סיווגה של מסכת התרחשויות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כמשמעותו </w:t>
      </w:r>
      <w:hyperlink r:id="rId4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</w:hyperlink>
      <w:r>
        <w:rPr>
          <w:rFonts w:ascii="David" w:hAnsi="David"/>
          <w:rtl w:val="true"/>
        </w:rPr>
        <w:t xml:space="preserve"> 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נקבעו מספר מבחני עזר לצורך הכרעה בשאלת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הקשר 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לדוגמא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מאופיין בתכנון ובשיטתיות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בוצעו בסמיכות של זמן או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ביצועה של עבירה אחת נועד לאפשר ביצועה של עבירה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המלטות לאחר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מדובר בקורבנות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כתובות שונות וכד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מובן שלא מדובר ברשימה סגורה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spacing w:lineRule="auto" w:line="360" w:before="0" w:after="0"/>
        <w:ind w:end="0"/>
        <w:contextualSpacing/>
        <w:jc w:val="both"/>
        <w:textAlignment w:val="baseline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64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הוראת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בעניין וטיעוני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שנכון </w:t>
      </w:r>
      <w:r>
        <w:rPr>
          <w:rFonts w:ascii="David" w:hAnsi="David"/>
          <w:rtl w:val="true"/>
        </w:rPr>
        <w:t xml:space="preserve">לקבוע מתחם עונש הולם </w:t>
      </w:r>
      <w:r>
        <w:rPr>
          <w:rFonts w:ascii="David" w:hAnsi="David"/>
          <w:rtl w:val="true"/>
        </w:rPr>
        <w:t xml:space="preserve"> נפרד ביחס לכל אחד מהאישומים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4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4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האישום הראשון שונה בתכלית משני האישומים הנוספים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מבחינת מהות האירועים והן מבחינת חלקו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שני האישומים הנוספים אמנם דומים עד מאוד בעובדותיהם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מדובר בשני אירועים נפרדים לחלוטין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באישום השני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פעל ביחד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ובאישום השלישי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 לבדו ולא יוחסה לו עבירה של נשיאת נשק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האישום השני מפרט אירועים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 שביחס לאישום השלישי תחילתו 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הוא הסתיים בשנת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שמדובר בפער זמנים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מתקיימת סמיכות זמנים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למותר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אילו הייתה מתקיימת סמיכות זמנים בין שני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בכך כדי להוות נסיבה מחמירה בהתחשב בפרק הזמן שהנאשם החזיק את הנשק ביחס לאישום השלישי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43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יובהר כי גם</w:t>
      </w:r>
      <w:r>
        <w:rPr>
          <w:rFonts w:ascii="David" w:hAnsi="David"/>
          <w:rtl w:val="true"/>
        </w:rPr>
        <w:t xml:space="preserve"> כאשר נקבע מתחם ענישה אחד ביחס למספר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 xml:space="preserve"> בכך כדי להשליך באופן מהותי על מידת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מהטעם שעל </w:t>
      </w:r>
      <w:r>
        <w:rPr>
          <w:rFonts w:ascii="David" w:hAnsi="David"/>
          <w:rtl w:val="true"/>
        </w:rPr>
        <w:t>בית המשפט לתת  משקל למספרם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וחומרתם של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בהקשר זה </w:t>
      </w:r>
      <w:hyperlink r:id="rId4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1082/14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סאר נגד 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נאמר בין היתר כי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"... </w:t>
      </w:r>
      <w:r>
        <w:rPr>
          <w:rFonts w:ascii="David" w:hAnsi="David"/>
          <w:b/>
          <w:b/>
          <w:bCs/>
          <w:rtl w:val="true"/>
        </w:rPr>
        <w:t>גם כאשר כמה מעשים נחשבים כחלק 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אירוע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אחד הרי שבקביעת מתחם הענישה יש תמיד להביא בחשבון את מספרם וחומרתם של המעשים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שמתחם הענישה בגין האירוע יכול לעלות אף על עונש המקסימום בגין מעשה אחד</w:t>
      </w:r>
      <w:r>
        <w:rPr>
          <w:rFonts w:cs="David" w:ascii="David" w:hAnsi="David"/>
          <w:b/>
          <w:bCs/>
          <w:rtl w:val="true"/>
        </w:rPr>
        <w:t xml:space="preserve">". 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5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51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אשר לא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שיתף פעולה עם חוקריו וסירב למסור פרטים על המעורבים בביצוע העבירות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12791-05-20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אל גווארה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הורשע בעבירות של נשיאת והובלת נשק 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שהגיע ביחד עם אחר למטע זיתים </w:t>
      </w:r>
      <w:r>
        <w:rPr>
          <w:rFonts w:ascii="David" w:hAnsi="David"/>
          <w:rtl w:val="true"/>
        </w:rPr>
        <w:t>וביצע שם ירי שאמצעות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נכחו במטע אנשים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הוטל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עונשים נלווים וזאת  בהתחשב בגילו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הרקע האישי שלו ובהמלצה חיובית של שירות המבחן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זראיעה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– הנאשם בעל עבר פלילי שאינו מכביד הורשע על פי הודאתו בעבירות של נשיאת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טעונה וקופסאות עם כדורי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5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5807/20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נגד מדינת ישראל</w:t>
      </w:r>
      <w:r>
        <w:rPr>
          <w:rFonts w:ascii="David" w:hAnsi="David"/>
          <w:rtl w:val="true"/>
        </w:rPr>
        <w:t xml:space="preserve"> הנאשם הורשע בעבירות של 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קבע מתחם עונש הולם אשר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הקל בעונשו והטיל עליו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נוכח תסקיר שירות המבחן שהוגש בעניינו אשר המליץ על ענישה טיפולית בצד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5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42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בין סורג ובריח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המשיב הורשע בעבירה של החזקת נשק –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–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של הנאשם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עלי עבוד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בנשיאת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והפרעה לשוטר ונדון למאסר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זועבי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30.8.2021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בן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חולה טרשת נפוצה נדון בגין נשיאת שני אקדחים על רקע 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למאסר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נדחה חרף מצבו הרפואי וסולחה שנערכה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1658/22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איהאב נח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ללא עבר פלילי שהורשע בעבירת נשיאה והובלה של 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לטענתו לשם הגנה עצמית ועבר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למאסר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6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עלך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32339-12-19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אחמד פנאכדה</w:t>
      </w:r>
      <w:r>
        <w:rPr>
          <w:rFonts w:ascii="David" w:hAnsi="David"/>
          <w:rtl w:val="true"/>
        </w:rPr>
        <w:t xml:space="preserve"> הנאשמים הורשעו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 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שהובילו ברכב </w:t>
      </w:r>
      <w:r>
        <w:rPr>
          <w:rFonts w:ascii="David" w:hAnsi="David"/>
          <w:rtl w:val="true"/>
        </w:rPr>
        <w:t xml:space="preserve">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 וכדורים תואמים</w:t>
      </w:r>
      <w:r>
        <w:rPr>
          <w:rFonts w:ascii="David" w:hAnsi="David"/>
          <w:rtl w:val="true"/>
        </w:rPr>
        <w:t xml:space="preserve"> ובדרך</w:t>
      </w:r>
      <w:r>
        <w:rPr>
          <w:rFonts w:ascii="David" w:hAnsi="David"/>
          <w:rtl w:val="true"/>
        </w:rPr>
        <w:t xml:space="preserve"> עפר </w:t>
      </w:r>
      <w:r>
        <w:rPr>
          <w:rFonts w:ascii="David" w:hAnsi="David"/>
          <w:rtl w:val="true"/>
        </w:rPr>
        <w:t xml:space="preserve">הסמוכה </w:t>
      </w:r>
      <w:r>
        <w:rPr>
          <w:rFonts w:ascii="David" w:hAnsi="David"/>
          <w:rtl w:val="true"/>
        </w:rPr>
        <w:t xml:space="preserve">לכביש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 מהרכב והחלו לבצע ירי מהנשק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לכיוון הנגדי של 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התעלמו מפנייתו</w:t>
      </w:r>
      <w:r>
        <w:rPr>
          <w:rFonts w:ascii="David" w:hAnsi="David"/>
          <w:rtl w:val="true"/>
        </w:rPr>
        <w:t xml:space="preserve"> שוטר בלבוש אזרחי להפסיק את 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ובהמשך </w:t>
      </w:r>
      <w:r>
        <w:rPr>
          <w:rFonts w:ascii="David" w:hAnsi="David"/>
          <w:rtl w:val="true"/>
        </w:rPr>
        <w:t>הוציאו את הנשק מבעד לחלון הרכב וביצעו ירי תוך כדי נסיעה בכביש העפר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בני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סטה </w:t>
      </w:r>
      <w:r>
        <w:rPr>
          <w:rFonts w:ascii="David" w:hAnsi="David"/>
          <w:rtl w:val="true"/>
        </w:rPr>
        <w:t>ממתחם העונש ההולם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גזרו על כל אחד מהנאשמים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5900/15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מעוז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rtl w:val="true"/>
        </w:rPr>
        <w:t>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שיחד עם אחרים הטמין רובה ומחסנית המכילה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שאחרים ישתמשו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 נשא הנאשם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הוטמן על ידו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65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4460/11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מדינת ישראל 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אחמד פאיד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הורשע במספר עבירות של </w:t>
      </w:r>
      <w:r>
        <w:rPr>
          <w:rFonts w:ascii="David" w:hAnsi="David"/>
          <w:rtl w:val="true"/>
        </w:rPr>
        <w:t>נשיאת נשק ותחמושת שלא כדין מספר עבירות של החזקת נשק ותחמושת ועבירת יריות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</w:t>
      </w:r>
      <w:r>
        <w:rPr>
          <w:rFonts w:ascii="David" w:hAnsi="David"/>
          <w:rtl w:val="true"/>
        </w:rPr>
        <w:t xml:space="preserve">רכש אקדח מסוג </w:t>
      </w:r>
      <w:r>
        <w:rPr/>
        <w:t>F.N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ושלוש מחסניות </w:t>
      </w:r>
      <w:r>
        <w:rPr>
          <w:rFonts w:ascii="David" w:hAnsi="David"/>
          <w:rtl w:val="true"/>
        </w:rPr>
        <w:t>עם כ</w:t>
      </w:r>
      <w:r>
        <w:rPr>
          <w:rFonts w:ascii="David" w:hAnsi="David"/>
          <w:rtl w:val="true"/>
        </w:rPr>
        <w:t xml:space="preserve">דורים </w:t>
      </w:r>
      <w:r>
        <w:rPr>
          <w:rFonts w:ascii="David" w:hAnsi="David"/>
          <w:rtl w:val="true"/>
        </w:rPr>
        <w:t xml:space="preserve">והחזיק </w:t>
      </w:r>
      <w:r>
        <w:rPr>
          <w:rFonts w:ascii="David" w:hAnsi="David"/>
          <w:rtl w:val="true"/>
        </w:rPr>
        <w:t>בכלי נשק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רובה אוטומטי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קופסאות של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מטען חבלה מאולתר ומחסנית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ובהזדמנות נוספת</w:t>
      </w:r>
      <w:r>
        <w:rPr>
          <w:rFonts w:ascii="David" w:hAnsi="David"/>
          <w:rtl w:val="true"/>
        </w:rPr>
        <w:t xml:space="preserve"> המשיב נשא עמו אקדח ומחסנית ורובה ובמהלך 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השתתף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באמצעותם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בליבה של שכונת מגורים ביחד עם אחרים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התקבל באופן שעונשו של הנאשם הועמד על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hyperlink r:id="rId66">
        <w:bookmarkStart w:id="9" w:name="FirstLawyer"/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12480-04-16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קאסם</w:t>
      </w:r>
      <w:bookmarkEnd w:id="9"/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rtl w:val="true"/>
        </w:rPr>
        <w:t xml:space="preserve">בשלושה אישומים נפרדים בגין ביצוע עבירות של ניסיון חבלה חמורה בנסיבות מחמירות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עבירות של אחזקת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עבירות של נשיאת והובלת הנשק ושתי עבירות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</w:t>
      </w:r>
      <w:r>
        <w:rPr>
          <w:rFonts w:ascii="David" w:hAnsi="David"/>
          <w:rtl w:val="true"/>
        </w:rPr>
        <w:t xml:space="preserve">בגין האישום הראשון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האישום השני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ובגין האישום השלישי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 עונש כולל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המאשימה הפנתה למספר פסקי דין ביניהם</w:t>
      </w:r>
      <w:r>
        <w:rPr>
          <w:rFonts w:eastAsia="David" w:cs="David" w:ascii="David" w:hAnsi="David"/>
          <w:rtl w:val="true"/>
        </w:rPr>
        <w:t xml:space="preserve">: </w:t>
      </w:r>
      <w:hyperlink r:id="rId6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בעבירה אחת של סיוע לסחר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שהיה מעורב בעסקת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היה ברכב והסוכן בזמן ששני נאשמים אחרים נכנסו לשטחים להביא רובה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הבאת הנשק ירד מהרכב עם הנשק והכניסו לחדר בו בוצעה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בין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הוחמר ל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hyperlink r:id="rId6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hyperlink r:id="rId6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נגד מוחמד 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ניסיון ייצור וסחר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ועוון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בנשק ותחמושת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 הנאשם הוטל עונש של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קולת העונש התקבל שעונשו הוחמר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hyperlink r:id="rId7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עלי עבוד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19.12.2021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נדחה ערעורו של 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שהורשע בנשיאת נשק מסוג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M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והפרעה לשוטר ונדון למאסר בן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hyperlink r:id="rId7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7595/19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רביע סגים נגד מדינת ישראל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שני נאשמים הורשעו בעבירות בנשק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בכך שהחזיק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והוביל בצוותא עם אחר כלי נשק ועשה בצוותא עסקה שיש עמה מסירת החזקה בנשק בתמורה ובניגוד לדין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הורשעו שני הנאשמים בכך שהחזיקו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נשאו והובילו בצוותא עם אחר שני כלי 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עונש הולם</w:t>
      </w:r>
      <w:r>
        <w:rPr>
          <w:rFonts w:ascii="David" w:hAnsi="David" w:eastAsia="Calibri"/>
          <w:rtl w:val="true"/>
        </w:rPr>
        <w:t xml:space="preserve"> שבין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3-6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ascii="David" w:hAnsi="David" w:eastAsia="Calibri"/>
          <w:rtl w:val="true"/>
        </w:rPr>
        <w:t xml:space="preserve"> לכל אחד מהאישומים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בהתייחס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בעל עבר פלילי לא מכביד </w:t>
      </w:r>
      <w:r>
        <w:rPr>
          <w:rFonts w:ascii="David" w:hAnsi="David" w:eastAsia="Calibri"/>
          <w:rtl w:val="true"/>
        </w:rPr>
        <w:t xml:space="preserve">עם </w:t>
      </w:r>
      <w:r>
        <w:rPr>
          <w:rFonts w:ascii="David" w:hAnsi="David" w:eastAsia="Calibri"/>
          <w:rtl w:val="true"/>
        </w:rPr>
        <w:t>בעיות נפשיות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הוטל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וחצי 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בעל הרשעה קודמת אחת הוטל עליו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</w:t>
      </w:r>
      <w:hyperlink r:id="rId7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6068/21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אברהים פקיה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הורשע בעבירות של נשיאת נשק וירי מנשק חם באיזור מגורים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הולם אשר נע בין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הנאשם בעל עבר פלילי שריצה ארבעה עונשי מאסר</w:t>
      </w:r>
      <w:r>
        <w:rPr>
          <w:rFonts w:ascii="David" w:hAnsi="David" w:eastAsia="David"/>
          <w:rtl w:val="true"/>
        </w:rPr>
        <w:t xml:space="preserve"> הוטלו 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בהתחשב בנסיבותיו האישיות והמלצות שירות המבחן החיוביות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קולת העונש התקבל באופן שעונשו של הנאשם הועמד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אישום שני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 המרבי הקבוע בחוק ביחס לעבירה של</w:t>
      </w:r>
      <w:r>
        <w:rPr>
          <w:rFonts w:ascii="David" w:hAnsi="David"/>
          <w:rtl w:val="true"/>
        </w:rPr>
        <w:t xml:space="preserve">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ובעבירה של סיוע לנשיאת והובלת נשק</w:t>
      </w:r>
      <w:r>
        <w:rPr>
          <w:rFonts w:ascii="David" w:hAnsi="David" w:eastAsia="David"/>
          <w:rtl w:val="true"/>
        </w:rPr>
        <w:t xml:space="preserve"> העונש 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המרבי הינו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העונש המרבי הקבוע בצידה של נשיאה והחזקה של אביזר או תחמושת 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בצידה של עבירה של ירי בנשק חם </w:t>
      </w:r>
      <w:r>
        <w:rPr>
          <w:rFonts w:ascii="David" w:hAnsi="David"/>
          <w:rtl w:val="true"/>
        </w:rPr>
        <w:t>עונש המקסימום הינו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שעונשי המינימום הקבועים בחוק חלים במקרה רק על העבירות המפורטות באישום הראשון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זאת נוכח מועד כניסתו לתוקף של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עם זאת 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</w:t>
      </w:r>
      <w:r>
        <w:rPr>
          <w:rFonts w:eastAsia="David" w:cs="David" w:ascii="David" w:hAnsi="David"/>
          <w:b/>
          <w:bCs/>
          <w:rtl w:val="true"/>
        </w:rPr>
        <w:t xml:space="preserve">'  </w:t>
      </w:r>
      <w:hyperlink r:id="rId7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</w:rPr>
        <w:t>30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</w:rPr>
        <w:t>42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 w:eastAsia="David"/>
          <w:b/>
          <w:b/>
          <w:bCs/>
          <w:color w:val="000000"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על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תנאי וקנס</w:t>
      </w:r>
      <w:r>
        <w:rPr>
          <w:rFonts w:eastAsia="David" w:cs="David" w:ascii="David" w:hAnsi="David"/>
          <w:b/>
          <w:bCs/>
          <w:color w:val="000000"/>
          <w:rtl w:val="true"/>
        </w:rPr>
        <w:t>)</w:t>
      </w:r>
      <w:r>
        <w:rPr>
          <w:rFonts w:eastAsia="David" w:cs="David" w:ascii="David" w:hAnsi="David"/>
          <w:color w:val="000000"/>
          <w:rtl w:val="true"/>
        </w:rPr>
        <w:t>"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לאחר ששקלתי את חומרת העביר</w:t>
      </w:r>
      <w:r>
        <w:rPr>
          <w:rFonts w:ascii="David" w:hAnsi="David" w:eastAsia="David"/>
          <w:rtl w:val="true"/>
        </w:rPr>
        <w:t>ות בכל אחד מהאישומים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</w:t>
      </w:r>
      <w:r>
        <w:rPr>
          <w:rFonts w:ascii="David" w:hAnsi="David" w:eastAsia="David"/>
          <w:rtl w:val="true"/>
        </w:rPr>
        <w:t xml:space="preserve"> העבירות</w:t>
      </w:r>
      <w:r>
        <w:rPr>
          <w:rFonts w:ascii="David" w:hAnsi="David" w:eastAsia="David"/>
          <w:rtl w:val="true"/>
        </w:rPr>
        <w:t xml:space="preserve">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</w:t>
      </w:r>
      <w:r>
        <w:rPr>
          <w:rFonts w:ascii="David" w:hAnsi="David" w:eastAsia="David"/>
          <w:rtl w:val="true"/>
        </w:rPr>
        <w:t xml:space="preserve">כים </w:t>
      </w:r>
      <w:r>
        <w:rPr>
          <w:rFonts w:ascii="David" w:hAnsi="David" w:eastAsia="David"/>
          <w:rtl w:val="true"/>
        </w:rPr>
        <w:t xml:space="preserve"> החברתי</w:t>
      </w:r>
      <w:r>
        <w:rPr>
          <w:rFonts w:ascii="David" w:hAnsi="David" w:eastAsia="David"/>
          <w:rtl w:val="true"/>
        </w:rPr>
        <w:t>ים</w:t>
      </w:r>
      <w:r>
        <w:rPr>
          <w:rFonts w:ascii="David" w:hAnsi="David" w:eastAsia="David"/>
          <w:rtl w:val="true"/>
        </w:rPr>
        <w:t xml:space="preserve"> עלי</w:t>
      </w:r>
      <w:r>
        <w:rPr>
          <w:rFonts w:ascii="David" w:hAnsi="David" w:eastAsia="David"/>
          <w:rtl w:val="true"/>
        </w:rPr>
        <w:t>הם</w:t>
      </w:r>
      <w:r>
        <w:rPr>
          <w:rFonts w:ascii="David" w:hAnsi="David" w:eastAsia="David"/>
          <w:rtl w:val="true"/>
        </w:rPr>
        <w:t xml:space="preserve">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מידת הפגיעה </w:t>
      </w:r>
      <w:r>
        <w:rPr>
          <w:rFonts w:ascii="David" w:hAnsi="David" w:eastAsia="David"/>
          <w:rtl w:val="true"/>
        </w:rPr>
        <w:t xml:space="preserve">בהם </w:t>
      </w:r>
      <w:r>
        <w:rPr>
          <w:rFonts w:ascii="David" w:hAnsi="David" w:eastAsia="David"/>
          <w:rtl w:val="true"/>
        </w:rPr>
        <w:t>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ביחס לאישום הראשון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</w:t>
      </w:r>
      <w:r>
        <w:rPr>
          <w:rFonts w:ascii="David" w:hAnsi="David"/>
          <w:rtl w:val="true"/>
        </w:rPr>
        <w:t xml:space="preserve">ההולם </w:t>
      </w:r>
      <w:r>
        <w:rPr>
          <w:rFonts w:ascii="David" w:hAnsi="David"/>
          <w:rtl w:val="true"/>
        </w:rPr>
        <w:t>צריך לכלול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לאישום השלישי מתחם העונש ההולם צריך לכלול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sz w:val="12"/>
          <w:szCs w:val="12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הבעת החרטה</w:t>
      </w:r>
      <w:r>
        <w:rPr>
          <w:rFonts w:ascii="David" w:hAnsi="David" w:eastAsia="David"/>
          <w:rtl w:val="true"/>
        </w:rPr>
        <w:t xml:space="preserve"> הכנה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>;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>;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נסיבותיו האישיות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תסקיר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ועדי האופי שהעידו בפניי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;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בפרט נוכח העובדה שמדובר במאסרו הראשון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שיתוף הפעולה המלא של הנאשם עם היחידה החוקרת באופן שהקל עד מאוד על הגשת כתבי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ומאמצי הנאשם לתיקון מעשיו בעצם גילוי מקום הטמנת 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גילוי שהוביל לתפיסת הנשק על כל המשתמע מכך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אישום שלישי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לחומרה יש להביא בחשבון את הסיכון הנשקף מהנאשם להישנות עבירות כמפורט בתסקיר שרות המבחן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לציין כי שרות המבחן לא נקב ברמת המסוכנות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ציין כי לא ניתן לשלול חזרה על התנהגות דומה בעתיד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שאין מקום לקבוע כי מדובר במסוכנות ברף הגבוה דווקא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שנכון לגזור על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עונש מאסר בפועל  לתקופה</w:t>
      </w:r>
      <w:r>
        <w:rPr>
          <w:rFonts w:ascii="David" w:hAnsi="David" w:eastAsia="David"/>
          <w:rtl w:val="true"/>
        </w:rPr>
        <w:t xml:space="preserve"> הקרובה לרף התחתון </w:t>
      </w:r>
      <w:r>
        <w:rPr>
          <w:rFonts w:ascii="David" w:hAnsi="David" w:eastAsia="David"/>
          <w:rtl w:val="true"/>
        </w:rPr>
        <w:t>של מתח</w:t>
      </w:r>
      <w:r>
        <w:rPr>
          <w:rFonts w:ascii="David" w:hAnsi="David" w:eastAsia="David"/>
          <w:rtl w:val="true"/>
        </w:rPr>
        <w:t>מי</w:t>
      </w:r>
      <w:r>
        <w:rPr>
          <w:rFonts w:ascii="David" w:hAnsi="David" w:eastAsia="David"/>
          <w:rtl w:val="true"/>
        </w:rPr>
        <w:t xml:space="preserve">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מאסר בפועל לתקופה של 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29/05/22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עונש מאסר על תנאי לתקופה של </w:t>
      </w:r>
      <w:r>
        <w:rPr>
          <w:rFonts w:eastAsia="David" w:cs="David" w:ascii="David" w:hAnsi="David"/>
          <w:b/>
          <w:bCs/>
        </w:rPr>
        <w:t>14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קנס כספי בסך </w:t>
      </w:r>
      <w:r>
        <w:rPr>
          <w:rFonts w:eastAsia="David" w:cs="David" w:ascii="David" w:hAnsi="David"/>
          <w:b/>
          <w:bCs/>
        </w:rPr>
        <w:t>1</w:t>
      </w:r>
      <w:r>
        <w:rPr>
          <w:rFonts w:eastAsia="David" w:cs="David" w:ascii="David" w:hAnsi="David"/>
          <w:b/>
          <w:bCs/>
        </w:rPr>
        <w:t>0,000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50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01.07.2023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75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7"/>
      <w:footerReference w:type="default" r:id="rId7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37104-06-22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פחמאווי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.a." TargetMode="External"/><Relationship Id="rId6" Type="http://schemas.openxmlformats.org/officeDocument/2006/relationships/hyperlink" Target="http://www.nevo.co.il/law/70301/40.if" TargetMode="External"/><Relationship Id="rId7" Type="http://schemas.openxmlformats.org/officeDocument/2006/relationships/hyperlink" Target="http://www.nevo.co.il/law/70301/40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fCa(1)S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340a.a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340a.a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0a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fCa(1)S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.a.;40.if" TargetMode="External"/><Relationship Id="rId34" Type="http://schemas.openxmlformats.org/officeDocument/2006/relationships/hyperlink" Target="http://www.nevo.co.il/law/70301/40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7894608" TargetMode="External"/><Relationship Id="rId37" Type="http://schemas.openxmlformats.org/officeDocument/2006/relationships/hyperlink" Target="http://www.nevo.co.il/case/2815213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601503" TargetMode="External"/><Relationship Id="rId40" Type="http://schemas.openxmlformats.org/officeDocument/2006/relationships/hyperlink" Target="http://www.nevo.co.il/case/6034921" TargetMode="External"/><Relationship Id="rId41" Type="http://schemas.openxmlformats.org/officeDocument/2006/relationships/hyperlink" Target="http://www.nevo.co.il/case/26913995" TargetMode="External"/><Relationship Id="rId42" Type="http://schemas.openxmlformats.org/officeDocument/2006/relationships/hyperlink" Target="http://www.nevo.co.il/case/5762686" TargetMode="External"/><Relationship Id="rId43" Type="http://schemas.openxmlformats.org/officeDocument/2006/relationships/hyperlink" Target="http://www.nevo.co.il/case/5587527" TargetMode="External"/><Relationship Id="rId44" Type="http://schemas.openxmlformats.org/officeDocument/2006/relationships/hyperlink" Target="http://www.nevo.co.il/law/70301/40j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law/70301/40jc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11303307" TargetMode="External"/><Relationship Id="rId50" Type="http://schemas.openxmlformats.org/officeDocument/2006/relationships/hyperlink" Target="http://www.nevo.co.il/case/6473037" TargetMode="External"/><Relationship Id="rId51" Type="http://schemas.openxmlformats.org/officeDocument/2006/relationships/hyperlink" Target="http://www.nevo.co.il/case/6950458" TargetMode="External"/><Relationship Id="rId52" Type="http://schemas.openxmlformats.org/officeDocument/2006/relationships/hyperlink" Target="http://www.nevo.co.il/case/27063216" TargetMode="External"/><Relationship Id="rId53" Type="http://schemas.openxmlformats.org/officeDocument/2006/relationships/hyperlink" Target="http://www.nevo.co.il/case/26648598" TargetMode="External"/><Relationship Id="rId54" Type="http://schemas.openxmlformats.org/officeDocument/2006/relationships/hyperlink" Target="http://www.nevo.co.il/case/5878682" TargetMode="External"/><Relationship Id="rId55" Type="http://schemas.openxmlformats.org/officeDocument/2006/relationships/hyperlink" Target="http://www.nevo.co.il/case/26934681" TargetMode="External"/><Relationship Id="rId56" Type="http://schemas.openxmlformats.org/officeDocument/2006/relationships/hyperlink" Target="http://www.nevo.co.il/case/28883087" TargetMode="External"/><Relationship Id="rId57" Type="http://schemas.openxmlformats.org/officeDocument/2006/relationships/hyperlink" Target="http://www.nevo.co.il/case/28513828" TargetMode="External"/><Relationship Id="rId58" Type="http://schemas.openxmlformats.org/officeDocument/2006/relationships/hyperlink" Target="http://www.nevo.co.il/case/28243273" TargetMode="External"/><Relationship Id="rId59" Type="http://schemas.openxmlformats.org/officeDocument/2006/relationships/hyperlink" Target="http://www.nevo.co.il/case/27911655" TargetMode="External"/><Relationship Id="rId60" Type="http://schemas.openxmlformats.org/officeDocument/2006/relationships/hyperlink" Target="http://www.nevo.co.il/case/27494821" TargetMode="External"/><Relationship Id="rId61" Type="http://schemas.openxmlformats.org/officeDocument/2006/relationships/hyperlink" Target="http://www.nevo.co.il/case/28380863" TargetMode="External"/><Relationship Id="rId62" Type="http://schemas.openxmlformats.org/officeDocument/2006/relationships/hyperlink" Target="http://www.nevo.co.il/case/28722692" TargetMode="External"/><Relationship Id="rId63" Type="http://schemas.openxmlformats.org/officeDocument/2006/relationships/hyperlink" Target="http://www.nevo.co.il/case/26268834" TargetMode="External"/><Relationship Id="rId64" Type="http://schemas.openxmlformats.org/officeDocument/2006/relationships/hyperlink" Target="http://www.nevo.co.il/case/21472954" TargetMode="External"/><Relationship Id="rId65" Type="http://schemas.openxmlformats.org/officeDocument/2006/relationships/hyperlink" Target="http://www.nevo.co.il/case/5958231" TargetMode="External"/><Relationship Id="rId66" Type="http://schemas.openxmlformats.org/officeDocument/2006/relationships/hyperlink" Target="http://www.nevo.co.il/case/21282242" TargetMode="External"/><Relationship Id="rId67" Type="http://schemas.openxmlformats.org/officeDocument/2006/relationships/hyperlink" Target="http://www.nevo.co.il/case/28697227" TargetMode="External"/><Relationship Id="rId68" Type="http://schemas.openxmlformats.org/officeDocument/2006/relationships/hyperlink" Target="http://www.nevo.co.il/case/28384638" TargetMode="External"/><Relationship Id="rId69" Type="http://schemas.openxmlformats.org/officeDocument/2006/relationships/hyperlink" Target="http://www.nevo.co.il/case/27734980" TargetMode="External"/><Relationship Id="rId70" Type="http://schemas.openxmlformats.org/officeDocument/2006/relationships/hyperlink" Target="http://www.nevo.co.il/case/27911655" TargetMode="External"/><Relationship Id="rId71" Type="http://schemas.openxmlformats.org/officeDocument/2006/relationships/hyperlink" Target="http://www.nevo.co.il/case/26193556" TargetMode="External"/><Relationship Id="rId72" Type="http://schemas.openxmlformats.org/officeDocument/2006/relationships/hyperlink" Target="http://www.nevo.co.il/case/27915710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28883087" TargetMode="External"/><Relationship Id="rId75" Type="http://schemas.openxmlformats.org/officeDocument/2006/relationships/hyperlink" Target="http://www.eca.gov.il/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2024-04-07T08:40:00Z</dcterms:created>
  <dc:creator> </dc:creator>
  <dc:description/>
  <cp:keywords/>
  <dc:language>en-IL</dc:language>
  <cp:lastModifiedBy>h1</cp:lastModifiedBy>
  <dcterms:modified xsi:type="dcterms:W3CDTF">2024-04-07T08:40:00Z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פחמאווי;איסמעיל פחמאווי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27894608;28152132;5601503;6034921;26913995;5762686;5587527;13093721;11303307;6473037;6950458;27063216;26648598;5878682;26934681;28883087:2;28513828;28243273;27911655:2;27494821;28380863;28722692;26268834;21472954;5958231;21282242;28697227;28384638</vt:lpwstr>
  </property>
  <property fmtid="{D5CDD505-2E9C-101B-9397-08002B2CF9AE}" pid="9" name="CASESLISTTMP2">
    <vt:lpwstr>27734980;26193556;27915710</vt:lpwstr>
  </property>
  <property fmtid="{D5CDD505-2E9C-101B-9397-08002B2CF9AE}" pid="10" name="CITY">
    <vt:lpwstr>חי'</vt:lpwstr>
  </property>
  <property fmtid="{D5CDD505-2E9C-101B-9397-08002B2CF9AE}" pid="11" name="DATE">
    <vt:lpwstr>20230326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70301/144.a:3;029:5;144.b:2;031;340a.a:3;fCa(1)S;040.a;040.if;040a;40jc:2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37104</vt:lpwstr>
  </property>
  <property fmtid="{D5CDD505-2E9C-101B-9397-08002B2CF9AE}" pid="23" name="NEWPARTB">
    <vt:lpwstr>06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390020230326</vt:lpwstr>
  </property>
  <property fmtid="{D5CDD505-2E9C-101B-9397-08002B2CF9AE}" pid="35" name="TYPE_N_DATE">
    <vt:lpwstr>39020230326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