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772"/>
        <w:gridCol w:w="269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</w:p>
        </w:tc>
      </w:tr>
      <w:tr>
        <w:trPr>
          <w:trHeight w:val="337" w:hRule="atLeast"/>
        </w:trPr>
        <w:tc>
          <w:tcPr>
            <w:tcW w:w="477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37177-10-10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דהאמשה</w:t>
            </w:r>
          </w:p>
        </w:tc>
        <w:tc>
          <w:tcPr>
            <w:tcW w:w="26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השופטת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לילי יונג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גפר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סגנית הנשיא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/>
              <w:t>37193-10-10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אחמד דהאמשה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 xml:space="preserve">: </w:t>
      </w:r>
      <w:bookmarkStart w:id="3" w:name="FirstLawyer"/>
      <w:r>
        <w:rPr>
          <w:u w:val="none"/>
          <w:rtl w:val="true"/>
        </w:rPr>
        <w:t>מטעם</w:t>
      </w:r>
      <w:bookmarkEnd w:id="3"/>
      <w:r>
        <w:rPr>
          <w:u w:val="none"/>
          <w:rtl w:val="true"/>
        </w:rPr>
        <w:t xml:space="preserve"> המאשימה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רועי אלפסי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              </w:t>
      </w:r>
      <w:r>
        <w:rPr>
          <w:u w:val="none"/>
          <w:rtl w:val="true"/>
        </w:rPr>
        <w:t xml:space="preserve">מטעם הנאשם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בעצמו ועו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ויסאם לידאוי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4" w:name="LawTable"/>
      <w:bookmarkStart w:id="5" w:name="LawTable"/>
      <w:bookmarkEnd w:id="5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6" w:name="LawTable_End"/>
      <w:bookmarkStart w:id="7" w:name="LawTable_End"/>
      <w:bookmarkEnd w:id="7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כתב האישום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/>
      </w:pPr>
      <w:bookmarkStart w:id="11" w:name="ABSTRACT_START"/>
      <w:bookmarkEnd w:id="11"/>
      <w:r>
        <w:rPr>
          <w:rtl w:val="true"/>
        </w:rPr>
        <w:t xml:space="preserve">הנאשם הורשע על פי הודאתו בעבירות של החזקת נזק ונשיאת נשק </w:t>
      </w:r>
      <w:r>
        <w:rPr>
          <w:rtl w:val="true"/>
        </w:rPr>
        <w:t>(</w:t>
      </w:r>
      <w:hyperlink r:id="rId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סיפא ו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tl w:val="true"/>
        </w:rPr>
        <w:t xml:space="preserve">) </w:t>
      </w:r>
      <w:r>
        <w:rPr>
          <w:rtl w:val="true"/>
        </w:rPr>
        <w:t>וכן קבלת נכסים שהושגו בפשע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/>
      </w:pPr>
      <w:bookmarkStart w:id="12" w:name="ABSTRACT_END"/>
      <w:bookmarkEnd w:id="12"/>
      <w:r>
        <w:rPr>
          <w:rtl w:val="true"/>
        </w:rPr>
        <w:t>יצויין כי המאשימה ייחסה לנאשם גם עבירה של הסתייעות ברכב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ואולם בדיון שהתקיים ביום </w:t>
      </w:r>
      <w:r>
        <w:rPr/>
        <w:t>22.12.10</w:t>
      </w:r>
      <w:r>
        <w:rPr>
          <w:rtl w:val="true"/>
        </w:rPr>
        <w:t xml:space="preserve"> </w:t>
      </w:r>
      <w:r>
        <w:rPr>
          <w:rtl w:val="true"/>
        </w:rPr>
        <w:t>הודה הנאשם בעבירות שבהן הורשע</w:t>
      </w:r>
      <w:r>
        <w:rPr>
          <w:rtl w:val="true"/>
        </w:rPr>
        <w:t xml:space="preserve">, </w:t>
      </w:r>
      <w:r>
        <w:rPr>
          <w:rtl w:val="true"/>
        </w:rPr>
        <w:t>ובהעדר התייצבות מטעם המאשימה בשל שביתת פרקליטי המדינה</w:t>
      </w:r>
      <w:r>
        <w:rPr>
          <w:rtl w:val="true"/>
        </w:rPr>
        <w:t xml:space="preserve">, </w:t>
      </w:r>
      <w:r>
        <w:rPr>
          <w:rtl w:val="true"/>
        </w:rPr>
        <w:t>זוכה הנאשם מעבירה זו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/>
      </w:pPr>
      <w:r>
        <w:rPr>
          <w:rtl w:val="true"/>
        </w:rPr>
        <w:t>על פי האמור בכתב האישום הצטייד הנאשם</w:t>
      </w:r>
      <w:r>
        <w:rPr>
          <w:rtl w:val="true"/>
        </w:rPr>
        <w:t xml:space="preserve">, </w:t>
      </w:r>
      <w:r>
        <w:rPr>
          <w:rtl w:val="true"/>
        </w:rPr>
        <w:t xml:space="preserve">עובר ליום </w:t>
      </w:r>
      <w:r>
        <w:rPr/>
        <w:t>14.10.10</w:t>
      </w:r>
      <w:r>
        <w:rPr>
          <w:rtl w:val="true"/>
        </w:rPr>
        <w:t xml:space="preserve"> </w:t>
      </w:r>
      <w:r>
        <w:rPr>
          <w:rtl w:val="true"/>
        </w:rPr>
        <w:t xml:space="preserve">בנשק שכלל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מחסניות התואמות תמ</w:t>
      </w:r>
      <w:r>
        <w:rPr>
          <w:rtl w:val="true"/>
        </w:rPr>
        <w:t>"</w:t>
      </w:r>
      <w:r>
        <w:rPr>
          <w:rtl w:val="true"/>
        </w:rPr>
        <w:t xml:space="preserve">ק מסוג </w:t>
      </w:r>
      <w:r>
        <w:rPr>
          <w:rtl w:val="true"/>
        </w:rPr>
        <w:t>"</w:t>
      </w:r>
      <w:r>
        <w:rPr>
          <w:rtl w:val="true"/>
        </w:rPr>
        <w:t>עוזי</w:t>
      </w:r>
      <w:r>
        <w:rPr>
          <w:rtl w:val="true"/>
        </w:rPr>
        <w:t xml:space="preserve">", </w:t>
      </w:r>
      <w:r>
        <w:rPr>
          <w:rtl w:val="true"/>
        </w:rPr>
        <w:t>שלושה צינות ומכלולים המהווים חלק מאקדח ו</w:t>
      </w:r>
      <w:r>
        <w:rPr>
          <w:rtl w:val="true"/>
        </w:rPr>
        <w:t xml:space="preserve">-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 xml:space="preserve">כדורים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 xml:space="preserve">"), </w:t>
      </w:r>
      <w:r>
        <w:rPr>
          <w:rtl w:val="true"/>
        </w:rPr>
        <w:t>וזאת בידעו כי הושגו בפשע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 xml:space="preserve">ביום </w:t>
      </w:r>
      <w:r>
        <w:rPr/>
        <w:t>14.10.10</w:t>
      </w:r>
      <w:r>
        <w:rPr>
          <w:rtl w:val="true"/>
        </w:rPr>
        <w:t xml:space="preserve"> </w:t>
      </w:r>
      <w:r>
        <w:rPr>
          <w:rtl w:val="true"/>
        </w:rPr>
        <w:t>נסע הנאשם ברכבו שבתוכו הנשק לכיוון טל כרם במטרה להעבירו לתחומי השטחים</w:t>
      </w:r>
      <w:r>
        <w:rPr>
          <w:rtl w:val="true"/>
        </w:rPr>
        <w:t xml:space="preserve">. </w:t>
      </w:r>
      <w:r>
        <w:rPr>
          <w:rtl w:val="true"/>
        </w:rPr>
        <w:t>בהגיעו למחסום המשטרתי הסמוך למעבר לטול כרם נערך חיפוש ברכבו של הנאשם</w:t>
      </w:r>
      <w:r>
        <w:rPr>
          <w:rtl w:val="true"/>
        </w:rPr>
        <w:t xml:space="preserve">, </w:t>
      </w:r>
      <w:r>
        <w:rPr>
          <w:rtl w:val="true"/>
        </w:rPr>
        <w:t>וכך נתגלה הנשק כשהוא מוטמן ברכב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נחזק הנאשם ונשא את הנשק למן המועד בו הצטייד ועד למועד מעצרו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/>
      </w:pPr>
      <w:r>
        <w:rPr>
          <w:rtl w:val="true"/>
        </w:rPr>
        <w:t xml:space="preserve">הנאשם כבן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ואין לו כל הרשעות 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תסקיר קצין המבחן שהוגש בעניינו מפרט את נסיבות חייו</w:t>
      </w:r>
      <w:r>
        <w:rPr>
          <w:rtl w:val="true"/>
        </w:rPr>
        <w:t xml:space="preserve">, </w:t>
      </w:r>
      <w:r>
        <w:rPr>
          <w:rtl w:val="true"/>
        </w:rPr>
        <w:t>לרבות הבעייתיות המשפחתית</w:t>
      </w:r>
      <w:r>
        <w:rPr>
          <w:rtl w:val="true"/>
        </w:rPr>
        <w:t xml:space="preserve">, </w:t>
      </w:r>
      <w:r>
        <w:rPr>
          <w:rtl w:val="true"/>
        </w:rPr>
        <w:t>החברתית והאישית וחוסר היציבות התעסוקתי שגילה בבגרותו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אשר לעבירה נשוא כתב האישום</w:t>
      </w:r>
      <w:r>
        <w:rPr>
          <w:rtl w:val="true"/>
        </w:rPr>
        <w:t xml:space="preserve">, </w:t>
      </w:r>
      <w:r>
        <w:rPr>
          <w:rtl w:val="true"/>
        </w:rPr>
        <w:t>הנאשם הודה בפני קצין המבחן במעשיו</w:t>
      </w:r>
      <w:r>
        <w:rPr>
          <w:rtl w:val="true"/>
        </w:rPr>
        <w:t xml:space="preserve">, </w:t>
      </w:r>
      <w:r>
        <w:rPr>
          <w:rtl w:val="true"/>
        </w:rPr>
        <w:t>וטען כי עשה כן מתוך צורך כספי</w:t>
      </w:r>
      <w:r>
        <w:rPr>
          <w:rtl w:val="true"/>
        </w:rPr>
        <w:t xml:space="preserve">. </w:t>
      </w:r>
      <w:r>
        <w:rPr>
          <w:rtl w:val="true"/>
        </w:rPr>
        <w:t>משניסה קצין המבחן לבחון לעומק את משמעות התנהגותו</w:t>
      </w:r>
      <w:r>
        <w:rPr>
          <w:rtl w:val="true"/>
        </w:rPr>
        <w:t xml:space="preserve">, </w:t>
      </w:r>
      <w:r>
        <w:rPr>
          <w:rtl w:val="true"/>
        </w:rPr>
        <w:t>דחה אותו הנאשם ולא איפשר גישה ממשית אליו</w:t>
      </w:r>
      <w:r>
        <w:rPr>
          <w:rtl w:val="true"/>
        </w:rPr>
        <w:t xml:space="preserve">, </w:t>
      </w:r>
      <w:r>
        <w:rPr>
          <w:rtl w:val="true"/>
        </w:rPr>
        <w:t>תוך התייחסות נמנעת מחשש למסירת מידע שיתכן ויפגע בו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/>
      </w:pPr>
      <w:r>
        <w:rPr>
          <w:rtl w:val="true"/>
        </w:rPr>
        <w:t>קצין המבחן מתרשם מצעיר בעל הערכה עצמית נמוכה ואישיות לא מגובשת</w:t>
      </w:r>
      <w:r>
        <w:rPr>
          <w:rtl w:val="true"/>
        </w:rPr>
        <w:t xml:space="preserve">, </w:t>
      </w:r>
      <w:r>
        <w:rPr>
          <w:rtl w:val="true"/>
        </w:rPr>
        <w:t>על קושי בדחית סיפוקים ונטיה להתעלמות מגבולות המותר והאסור</w:t>
      </w:r>
      <w:r>
        <w:rPr>
          <w:rtl w:val="true"/>
        </w:rPr>
        <w:t xml:space="preserve">. </w:t>
      </w:r>
      <w:r>
        <w:rPr>
          <w:rtl w:val="true"/>
        </w:rPr>
        <w:t>הנאשם נמנע מבדיקה עצמית אמיתית וכנה של מעורבותו בעבירות והסתפק בהצגת תמונה אישית חיובית ביחס לעתיד</w:t>
      </w:r>
      <w:r>
        <w:rPr>
          <w:rtl w:val="true"/>
        </w:rPr>
        <w:t xml:space="preserve">, </w:t>
      </w:r>
      <w:r>
        <w:rPr>
          <w:rtl w:val="true"/>
        </w:rPr>
        <w:t>בלא הבעת נזקקות למעורבות טיפולית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מביע קצין המבחן ספק באשר ליכולתו להפיק לקחים ולחתור לשינוי בבחירותיו</w:t>
      </w:r>
      <w:r>
        <w:rPr>
          <w:rtl w:val="true"/>
        </w:rPr>
        <w:t xml:space="preserve">, </w:t>
      </w:r>
      <w:r>
        <w:rPr>
          <w:rtl w:val="true"/>
        </w:rPr>
        <w:t>והוא ממליץ להטיל ענישה הרתעתית שתפחית סיכון להישנות הסתבכויות בעתיד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התובעת לעונש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/>
      </w:pPr>
      <w:r>
        <w:rPr>
          <w:rtl w:val="true"/>
        </w:rPr>
        <w:t>התובעת מבקשת לגזור על הנאשם עונש מאסר בפועל משמעותי שלא יפחת מ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>קנס ואת חילוט רכבו של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בטיעוניה מדגישה התובעת את הנסיבות לחומרה – החזקתו והובלתו של נשק מתוך מטרה להעברתו לשטחי הרשות הפלסטינית</w:t>
      </w:r>
      <w:r>
        <w:rPr>
          <w:rtl w:val="true"/>
        </w:rPr>
        <w:t xml:space="preserve">, </w:t>
      </w:r>
      <w:r>
        <w:rPr>
          <w:rtl w:val="true"/>
        </w:rPr>
        <w:t>כשהוא מוטמן ומוסתר היטב בתוך רכבו</w:t>
      </w:r>
      <w:r>
        <w:rPr>
          <w:rtl w:val="true"/>
        </w:rPr>
        <w:t xml:space="preserve">, </w:t>
      </w:r>
      <w:r>
        <w:rPr>
          <w:rtl w:val="true"/>
        </w:rPr>
        <w:t>כמות הנשק טיבו וסוגו המעידים על הכוונה שבהחזקתו ונשיאתו</w:t>
      </w:r>
      <w:r>
        <w:rPr>
          <w:rtl w:val="true"/>
        </w:rPr>
        <w:t xml:space="preserve">, </w:t>
      </w:r>
      <w:r>
        <w:rPr>
          <w:rtl w:val="true"/>
        </w:rPr>
        <w:t>וטענתו המופרכת בדבר מציאת הנשק ביער</w:t>
      </w:r>
      <w:r>
        <w:rPr>
          <w:rtl w:val="true"/>
        </w:rPr>
        <w:t xml:space="preserve">, </w:t>
      </w:r>
      <w:r>
        <w:rPr>
          <w:rtl w:val="true"/>
        </w:rPr>
        <w:t>המעידה על העדר תמימות מצידו ביחד לנשיאת הנשק והחזקתו</w:t>
      </w:r>
      <w:r>
        <w:rPr>
          <w:rtl w:val="true"/>
        </w:rPr>
        <w:t xml:space="preserve">, </w:t>
      </w:r>
      <w:r>
        <w:rPr>
          <w:rtl w:val="true"/>
        </w:rPr>
        <w:t>במיוחד כאשר המדובר בכמות מסחרית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מסוכנותו של הנאשם זועקת לשמיים</w:t>
      </w:r>
      <w:r>
        <w:rPr>
          <w:rtl w:val="true"/>
        </w:rPr>
        <w:t xml:space="preserve">, </w:t>
      </w:r>
      <w:r>
        <w:rPr>
          <w:rtl w:val="true"/>
        </w:rPr>
        <w:t>ומשמלא פיו מים ולא נתן כל הסבר באשר למקור הנשק</w:t>
      </w:r>
      <w:r>
        <w:rPr>
          <w:rtl w:val="true"/>
        </w:rPr>
        <w:t xml:space="preserve">, </w:t>
      </w:r>
      <w:r>
        <w:rPr>
          <w:rtl w:val="true"/>
        </w:rPr>
        <w:t>יעדו והסיבה להחזקתו מלמדים על כך</w:t>
      </w:r>
      <w:r>
        <w:rPr>
          <w:rtl w:val="true"/>
        </w:rPr>
        <w:t xml:space="preserve">, </w:t>
      </w:r>
      <w:r>
        <w:rPr>
          <w:rtl w:val="true"/>
        </w:rPr>
        <w:t>ומחייבים ענישה מחמירה</w:t>
      </w:r>
      <w:r>
        <w:rPr>
          <w:rtl w:val="true"/>
        </w:rPr>
        <w:t>.</w:t>
      </w:r>
    </w:p>
    <w:p>
      <w:pPr>
        <w:pStyle w:val="Normal"/>
        <w:ind w:start="56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/>
      </w:pPr>
      <w:r>
        <w:rPr>
          <w:rtl w:val="true"/>
        </w:rPr>
        <w:t>התובעת סוקרת את התפתחות הפסיקה בתחום עבירות הנשק בעת האחרונה</w:t>
      </w:r>
      <w:r>
        <w:rPr>
          <w:rtl w:val="true"/>
        </w:rPr>
        <w:t xml:space="preserve">, </w:t>
      </w:r>
      <w:r>
        <w:rPr>
          <w:rtl w:val="true"/>
        </w:rPr>
        <w:t>ומביאה אמירות מתוך פסיקת בית המשפט המחוזי ובית המשפט העליון</w:t>
      </w:r>
      <w:r>
        <w:rPr>
          <w:rtl w:val="true"/>
        </w:rPr>
        <w:t xml:space="preserve">, </w:t>
      </w:r>
      <w:r>
        <w:rPr>
          <w:rtl w:val="true"/>
        </w:rPr>
        <w:t>בדבר הצורך בהחמרת העונשים</w:t>
      </w:r>
      <w:r>
        <w:rPr>
          <w:rtl w:val="true"/>
        </w:rPr>
        <w:t xml:space="preserve">, </w:t>
      </w:r>
      <w:r>
        <w:rPr>
          <w:rtl w:val="true"/>
        </w:rPr>
        <w:t>נוכח התגברות התופעה של החזקה ונשיאה בלתי חוקיים של נשק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כן מפנה היא לפסיקה הקובעת כי העדרו של עבר פלילי אינו שיקול המצדיק סטיה מרמת הענישה הנוהגת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בהתייחס לתסקיר קצין המבחן מדגישה התובעת כי אין כל המלצה טיפולית</w:t>
      </w:r>
      <w:r>
        <w:rPr>
          <w:rtl w:val="true"/>
        </w:rPr>
        <w:t xml:space="preserve">, </w:t>
      </w:r>
      <w:r>
        <w:rPr>
          <w:rtl w:val="true"/>
        </w:rPr>
        <w:t>וכי קצין המבחן התרשם מבעייתיות באישיותו ובהתייחסותו של הנאשם לעבירות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/>
      </w:pPr>
      <w:r>
        <w:rPr>
          <w:rtl w:val="true"/>
        </w:rPr>
        <w:t>אשר לעונש הראוי לנאשם</w:t>
      </w:r>
      <w:r>
        <w:rPr>
          <w:rtl w:val="true"/>
        </w:rPr>
        <w:t xml:space="preserve">, </w:t>
      </w:r>
      <w:r>
        <w:rPr>
          <w:rtl w:val="true"/>
        </w:rPr>
        <w:t>סבורה כי כי בהתחשב במדיניות הפסיקה בעת האחרונה</w:t>
      </w:r>
      <w:r>
        <w:rPr>
          <w:rtl w:val="true"/>
        </w:rPr>
        <w:t xml:space="preserve">, </w:t>
      </w:r>
      <w:r>
        <w:rPr>
          <w:rtl w:val="true"/>
        </w:rPr>
        <w:t>ונוכח התפשטות התופעה לממדי מכת מדינה יש לגזור על הנאשם את העונש שאותו ביקשה</w:t>
      </w:r>
      <w:r>
        <w:rPr>
          <w:rtl w:val="true"/>
        </w:rPr>
        <w:t xml:space="preserve">, </w:t>
      </w:r>
      <w:r>
        <w:rPr>
          <w:rtl w:val="true"/>
        </w:rPr>
        <w:t>ומפנה לפסיקה רלבנטית ממנה יש להקיש על טיב העונש הראוי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בענין חילוט הרכב</w:t>
      </w:r>
      <w:r>
        <w:rPr>
          <w:rtl w:val="true"/>
        </w:rPr>
        <w:t xml:space="preserve">, </w:t>
      </w:r>
      <w:r>
        <w:rPr>
          <w:rtl w:val="true"/>
        </w:rPr>
        <w:t>טוענת התובעת כי משהורשע הנאשם בעבירה שבוצעה באמצעות רכבו</w:t>
      </w:r>
      <w:r>
        <w:rPr>
          <w:rtl w:val="true"/>
        </w:rPr>
        <w:t xml:space="preserve">, </w:t>
      </w:r>
      <w:r>
        <w:rPr>
          <w:rtl w:val="true"/>
        </w:rPr>
        <w:t>יש לחילוט זה משמעות מרתיעה וכואבת כן כלפי הרבים והן כלפי הפרט</w:t>
      </w:r>
      <w:r>
        <w:rPr>
          <w:rtl w:val="true"/>
        </w:rPr>
        <w:t xml:space="preserve">, </w:t>
      </w:r>
      <w:r>
        <w:rPr>
          <w:rtl w:val="true"/>
        </w:rPr>
        <w:t>ויש לנקוט בצעד זה במסגרת גזר הדין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הסניגור לעונש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/>
      </w:pPr>
      <w:r>
        <w:rPr>
          <w:rtl w:val="true"/>
        </w:rPr>
        <w:t>הסניגור מציין בראשית טיעונו את העובדה כי הנאשם בחר להודות בעובדות כתב האישום ללא כל הסדר</w:t>
      </w:r>
      <w:r>
        <w:rPr>
          <w:rtl w:val="true"/>
        </w:rPr>
        <w:t xml:space="preserve">, </w:t>
      </w:r>
      <w:r>
        <w:rPr>
          <w:rtl w:val="true"/>
        </w:rPr>
        <w:t>ובכך יש לראות משום קבלת אחריות</w:t>
      </w:r>
      <w:r>
        <w:rPr>
          <w:rtl w:val="true"/>
        </w:rPr>
        <w:t xml:space="preserve">, </w:t>
      </w:r>
      <w:r>
        <w:rPr>
          <w:rtl w:val="true"/>
        </w:rPr>
        <w:t>הפנמה של חומרת המעשה וחרטה</w:t>
      </w:r>
      <w:r>
        <w:rPr>
          <w:rtl w:val="true"/>
        </w:rPr>
        <w:t xml:space="preserve">. </w:t>
      </w:r>
      <w:r>
        <w:rPr>
          <w:rtl w:val="true"/>
        </w:rPr>
        <w:t>הוא מדגיש כי הודאה זו חסכה התדיינות מיותרת וזמן שיפוטי יקר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/>
      </w:pPr>
      <w:r>
        <w:rPr>
          <w:rtl w:val="true"/>
        </w:rPr>
        <w:t>אשר לנאשם – מפנה הסניגור לפירוט נסיבותיו האישיות כפי שהוא מופיע בתסקיר קצין המבחן ולקשיים שמהם סבל בילדותו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עוד מציין הוא לזכות הנאשם את העובדה כי עם שחרורו מן המעצר התיר לו בית המשפט לצאת לעבוד</w:t>
      </w:r>
      <w:r>
        <w:rPr>
          <w:rtl w:val="true"/>
        </w:rPr>
        <w:t xml:space="preserve">, </w:t>
      </w:r>
      <w:r>
        <w:rPr>
          <w:rtl w:val="true"/>
        </w:rPr>
        <w:t>והנאשם אכן ניצל היטב הזדמנות זו ועבד בקביעות ובאופן חוקי ומכובד במהלך תקופת ההמתנה לסיום משפטו</w:t>
      </w:r>
      <w:r>
        <w:rPr>
          <w:rtl w:val="true"/>
        </w:rPr>
        <w:t xml:space="preserve">. </w:t>
      </w:r>
      <w:r>
        <w:rPr>
          <w:rtl w:val="true"/>
        </w:rPr>
        <w:t>לראיה</w:t>
      </w:r>
      <w:r>
        <w:rPr>
          <w:rtl w:val="true"/>
        </w:rPr>
        <w:t xml:space="preserve">, </w:t>
      </w:r>
      <w:r>
        <w:rPr>
          <w:rtl w:val="true"/>
        </w:rPr>
        <w:t>הציג תלושי שכר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מכך מבקש הוא ללמוד כי מדובר באדם נורמטיבי שמעד באופן חד פעמי</w:t>
      </w:r>
      <w:r>
        <w:rPr>
          <w:rtl w:val="true"/>
        </w:rPr>
        <w:t xml:space="preserve">, </w:t>
      </w:r>
      <w:r>
        <w:rPr>
          <w:rtl w:val="true"/>
        </w:rPr>
        <w:t>וזאת בשל בצע כסף</w:t>
      </w:r>
      <w:r>
        <w:rPr>
          <w:rtl w:val="true"/>
        </w:rPr>
        <w:t>.</w:t>
      </w:r>
    </w:p>
    <w:p>
      <w:pPr>
        <w:pStyle w:val="Normal"/>
        <w:ind w:start="56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/>
      </w:pPr>
      <w:r>
        <w:rPr>
          <w:rtl w:val="true"/>
        </w:rPr>
        <w:t>אשר לעמדת הנאשם בפני קצין המבחן</w:t>
      </w:r>
      <w:r>
        <w:rPr>
          <w:rtl w:val="true"/>
        </w:rPr>
        <w:t xml:space="preserve">: </w:t>
      </w:r>
      <w:r>
        <w:rPr>
          <w:rtl w:val="true"/>
        </w:rPr>
        <w:t>הסניגור מבהיר כי הנאשם עמד בפני דילמה</w:t>
      </w:r>
      <w:r>
        <w:rPr>
          <w:rtl w:val="true"/>
        </w:rPr>
        <w:t xml:space="preserve">, </w:t>
      </w:r>
      <w:r>
        <w:rPr>
          <w:rtl w:val="true"/>
        </w:rPr>
        <w:t>ולפיה לא יכול היה למסור מי עמד מאחוריו ומי שלח אותו</w:t>
      </w:r>
      <w:r>
        <w:rPr>
          <w:rtl w:val="true"/>
        </w:rPr>
        <w:t xml:space="preserve">, </w:t>
      </w:r>
      <w:r>
        <w:rPr>
          <w:rtl w:val="true"/>
        </w:rPr>
        <w:t>כאשר הוא עצמו דג רקק בפרשה נרחבת שנדונה לאחרונה בעיקר בבית המשפט המחוזי</w:t>
      </w:r>
      <w:r>
        <w:rPr>
          <w:rtl w:val="true"/>
        </w:rPr>
        <w:t xml:space="preserve">. </w:t>
      </w:r>
      <w:r>
        <w:rPr>
          <w:rtl w:val="true"/>
        </w:rPr>
        <w:t>אין הוא טוען כי הנאשם הוא קרבן</w:t>
      </w:r>
      <w:r>
        <w:rPr>
          <w:rtl w:val="true"/>
        </w:rPr>
        <w:t xml:space="preserve">, </w:t>
      </w:r>
      <w:r>
        <w:rPr>
          <w:rtl w:val="true"/>
        </w:rPr>
        <w:t>אך לטענתו הוא מן המעורבים המשניים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/>
      </w:pPr>
      <w:r>
        <w:rPr>
          <w:rtl w:val="true"/>
        </w:rPr>
        <w:t>אשר לעבירה</w:t>
      </w:r>
      <w:r>
        <w:rPr>
          <w:rtl w:val="true"/>
        </w:rPr>
        <w:t xml:space="preserve">, </w:t>
      </w:r>
      <w:r>
        <w:rPr>
          <w:rtl w:val="true"/>
        </w:rPr>
        <w:t>מבקש הסניגור להדגיש את העובדה כי מדובר בהחזקה ונשיאה של תחמושת ולא של כלי נשק של ממש</w:t>
      </w:r>
      <w:r>
        <w:rPr>
          <w:rtl w:val="true"/>
        </w:rPr>
        <w:t xml:space="preserve">, </w:t>
      </w:r>
      <w:r>
        <w:rPr>
          <w:rtl w:val="true"/>
        </w:rPr>
        <w:t>וממילא העונש המירבי שלצד העבירות בהן הורשע קל בהרבה מזה של מי שהורשע בנשיאתו של נשק ממש</w:t>
      </w:r>
      <w:r>
        <w:rPr>
          <w:rtl w:val="true"/>
        </w:rPr>
        <w:t xml:space="preserve">, </w:t>
      </w:r>
      <w:r>
        <w:rPr>
          <w:rtl w:val="true"/>
        </w:rPr>
        <w:t>וכך יש להתייחס גם אל הפסיקה שהוגשה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 xml:space="preserve">הסניגור הגיש גזר דין שניתן בבית המשפט המחוזי לאחרונה </w:t>
      </w:r>
      <w:r>
        <w:rPr>
          <w:rtl w:val="true"/>
        </w:rPr>
        <w:t>(</w:t>
      </w:r>
      <w:hyperlink r:id="rId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17252-02-11</w:t>
        </w:r>
      </w:hyperlink>
      <w:r>
        <w:rPr>
          <w:rtl w:val="true"/>
        </w:rPr>
        <w:t xml:space="preserve">), </w:t>
      </w:r>
      <w:r>
        <w:rPr>
          <w:rtl w:val="true"/>
        </w:rPr>
        <w:t xml:space="preserve">שם נדון נאשם למאסר בפועל של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 לשיטתו מדובר במעשים שאינם נופלים בחומרתם מאלו של הנאשם</w:t>
      </w:r>
      <w:r>
        <w:rPr>
          <w:rtl w:val="true"/>
        </w:rPr>
        <w:t xml:space="preserve">, </w:t>
      </w:r>
      <w:r>
        <w:rPr>
          <w:rtl w:val="true"/>
        </w:rPr>
        <w:t>והוא מבקש להפעיל את עיקרון אחידות הענישה ולגזור על הנאשם עונש בהתאם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על מנת שלא לחשוף את הנאשם לאוכלוסיה עבריינית בתוך כתלי בית הסוהר</w:t>
      </w:r>
      <w:r>
        <w:rPr>
          <w:rtl w:val="true"/>
        </w:rPr>
        <w:t xml:space="preserve">, </w:t>
      </w:r>
      <w:r>
        <w:rPr>
          <w:rtl w:val="true"/>
        </w:rPr>
        <w:t>מבקש הוא להסתפק בעונש מאסר קצר שירוצה בעבודות שירות</w:t>
      </w:r>
      <w:r>
        <w:rPr>
          <w:rtl w:val="true"/>
        </w:rPr>
        <w:t>.</w:t>
      </w:r>
    </w:p>
    <w:p>
      <w:pPr>
        <w:pStyle w:val="Normal"/>
        <w:ind w:start="56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/>
      </w:pPr>
      <w:r>
        <w:rPr>
          <w:rtl w:val="true"/>
        </w:rPr>
        <w:t>אשר לחילוט הרכב טוען הסניגור כי הרכב משמש את כל בני משפחתו של הנאשם</w:t>
      </w:r>
      <w:r>
        <w:rPr>
          <w:rtl w:val="true"/>
        </w:rPr>
        <w:t xml:space="preserve">, </w:t>
      </w:r>
      <w:r>
        <w:rPr>
          <w:rtl w:val="true"/>
        </w:rPr>
        <w:t>על אף שפורמאלית רשום הוא על שמו במשרד הרישוי</w:t>
      </w:r>
      <w:r>
        <w:rPr>
          <w:rtl w:val="true"/>
        </w:rPr>
        <w:t xml:space="preserve">, </w:t>
      </w:r>
      <w:r>
        <w:rPr>
          <w:rtl w:val="true"/>
        </w:rPr>
        <w:t>וכן מזכיר כי הנאשם זוכה מן העבירה של הסתייעות ברכב לביצוע 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כן מבקש הוא למעט בקנס הכספי נוכח מצבה הכלכלי הקשה של המשפחה</w:t>
      </w:r>
      <w:r>
        <w:rPr>
          <w:rtl w:val="true"/>
        </w:rPr>
        <w:t>.</w:t>
      </w:r>
    </w:p>
    <w:p>
      <w:pPr>
        <w:pStyle w:val="Normal"/>
        <w:ind w:start="56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/>
      </w:pPr>
      <w:r>
        <w:rPr>
          <w:rtl w:val="true"/>
        </w:rPr>
        <w:t>דומה שכל שניתן היה להיאמר בנוגע לחומרתן של עבירות הנשק</w:t>
      </w:r>
      <w:r>
        <w:rPr>
          <w:rtl w:val="true"/>
        </w:rPr>
        <w:t xml:space="preserve">. </w:t>
      </w:r>
      <w:r>
        <w:rPr>
          <w:rtl w:val="true"/>
        </w:rPr>
        <w:t>לא יתכן כל הסבר תמים או חיובי להחזקתו ונשיאתו של נשק – בין אם כלי נשק ממש או אביזרים ותחמושת</w:t>
      </w:r>
      <w:r>
        <w:rPr>
          <w:rtl w:val="true"/>
        </w:rPr>
        <w:t xml:space="preserve">. </w:t>
      </w:r>
      <w:r>
        <w:rPr>
          <w:rtl w:val="true"/>
        </w:rPr>
        <w:t>מטרתו האחת והיחידה של נשק המוחזק שלא כחוק הינה לפגוע בזולת</w:t>
      </w:r>
      <w:r>
        <w:rPr>
          <w:rtl w:val="true"/>
        </w:rPr>
        <w:t xml:space="preserve">, </w:t>
      </w:r>
      <w:r>
        <w:rPr>
          <w:rtl w:val="true"/>
        </w:rPr>
        <w:t>להטיל מורא</w:t>
      </w:r>
      <w:r>
        <w:rPr>
          <w:rtl w:val="true"/>
        </w:rPr>
        <w:t xml:space="preserve">, </w:t>
      </w:r>
      <w:r>
        <w:rPr>
          <w:rtl w:val="true"/>
        </w:rPr>
        <w:t>לזרוע הרס ולא פעם אף לקפד חיים</w:t>
      </w:r>
      <w:r>
        <w:rPr>
          <w:rtl w:val="true"/>
        </w:rPr>
        <w:t xml:space="preserve">. </w:t>
      </w:r>
      <w:r>
        <w:rPr>
          <w:rtl w:val="true"/>
        </w:rPr>
        <w:t>מדובר בעובדת חיים בסיסית וחד משמעית המובנת היטב לכל מי שמהין ליטול לידיו שלא כחוק נשק מסוג כלשהו</w:t>
      </w:r>
      <w:r>
        <w:rPr>
          <w:rtl w:val="true"/>
        </w:rPr>
        <w:t xml:space="preserve">, </w:t>
      </w:r>
      <w:r>
        <w:rPr>
          <w:rtl w:val="true"/>
        </w:rPr>
        <w:t>ואשר היתה ידועה וברורה גם למי אשר באופן מתוכנן ומאורגן הטמין ברכבו כמות עצומה של תחמושת ואביזרים</w:t>
      </w:r>
      <w:r>
        <w:rPr>
          <w:rtl w:val="true"/>
        </w:rPr>
        <w:t xml:space="preserve">, </w:t>
      </w:r>
      <w:r>
        <w:rPr>
          <w:rtl w:val="true"/>
        </w:rPr>
        <w:t>שאותם ייעד לא פחות ולא יותר אלא לשטחי הרשות הפלסטינית</w:t>
      </w:r>
      <w:r>
        <w:rPr>
          <w:rtl w:val="true"/>
        </w:rPr>
        <w:t xml:space="preserve">, </w:t>
      </w:r>
      <w:r>
        <w:rPr>
          <w:rtl w:val="true"/>
        </w:rPr>
        <w:t>שממנה יצאו</w:t>
      </w:r>
      <w:r>
        <w:rPr>
          <w:rtl w:val="true"/>
        </w:rPr>
        <w:t xml:space="preserve">, </w:t>
      </w:r>
      <w:r>
        <w:rPr>
          <w:rtl w:val="true"/>
        </w:rPr>
        <w:t>ולמרבה הצער</w:t>
      </w:r>
      <w:r>
        <w:rPr>
          <w:rtl w:val="true"/>
        </w:rPr>
        <w:t xml:space="preserve">, </w:t>
      </w:r>
      <w:r>
        <w:rPr>
          <w:rtl w:val="true"/>
        </w:rPr>
        <w:t>ממשיכים לא פעם לצאת</w:t>
      </w:r>
      <w:r>
        <w:rPr>
          <w:rtl w:val="true"/>
        </w:rPr>
        <w:t xml:space="preserve">, </w:t>
      </w:r>
      <w:r>
        <w:rPr>
          <w:rtl w:val="true"/>
        </w:rPr>
        <w:t>מפגעים ומרצחים המבקשים את נפשם של תושבי מדינת 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ראה דברים שנאמרו בענין זה מפי כב</w:t>
      </w:r>
      <w:r>
        <w:rPr>
          <w:rtl w:val="true"/>
        </w:rPr>
        <w:t xml:space="preserve">' </w:t>
      </w:r>
      <w:r>
        <w:rPr>
          <w:rtl w:val="true"/>
        </w:rPr>
        <w:t>השופט רובינשטיין ב</w:t>
      </w:r>
      <w:hyperlink r:id="rId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3361/08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נתנאל ליבוביץ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 xml:space="preserve">נגד מדינת ישראל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>):</w:t>
      </w:r>
    </w:p>
    <w:p>
      <w:pPr>
        <w:pStyle w:val="Normal"/>
        <w:tabs>
          <w:tab w:val="clear" w:pos="720"/>
          <w:tab w:val="left" w:pos="1106" w:leader="none"/>
        </w:tabs>
        <w:spacing w:lineRule="auto" w:line="360"/>
        <w:ind w:start="1106" w:end="720"/>
        <w:jc w:val="both"/>
        <w:rPr/>
      </w:pPr>
      <w:r>
        <w:rPr>
          <w:rtl w:val="true"/>
        </w:rPr>
        <w:t>"</w:t>
      </w:r>
      <w:r>
        <w:rPr>
          <w:rtl w:val="true"/>
        </w:rPr>
        <w:t>באשר לעבירות בנשק</w:t>
      </w:r>
      <w:r>
        <w:rPr>
          <w:rtl w:val="true"/>
        </w:rPr>
        <w:t xml:space="preserve">, </w:t>
      </w:r>
      <w:r>
        <w:rPr>
          <w:rtl w:val="true"/>
        </w:rPr>
        <w:t>בית משפט זה</w:t>
      </w:r>
      <w:r>
        <w:rPr>
          <w:rtl w:val="true"/>
        </w:rPr>
        <w:t xml:space="preserve">, </w:t>
      </w:r>
      <w:r>
        <w:rPr>
          <w:rtl w:val="true"/>
        </w:rPr>
        <w:t>שבתוך עמו הוא יושב</w:t>
      </w:r>
      <w:r>
        <w:rPr>
          <w:rtl w:val="true"/>
        </w:rPr>
        <w:t xml:space="preserve">, </w:t>
      </w:r>
      <w:r>
        <w:rPr>
          <w:rtl w:val="true"/>
        </w:rPr>
        <w:t>חזר פעמים אין ספור על היחס המחמיר שיש לנקוט כלפיהן</w:t>
      </w:r>
      <w:r>
        <w:rPr>
          <w:rtl w:val="true"/>
        </w:rPr>
        <w:t xml:space="preserve">. </w:t>
      </w:r>
      <w:r>
        <w:rPr>
          <w:rtl w:val="true"/>
        </w:rPr>
        <w:t>הדברים ברורים כשמש</w:t>
      </w:r>
      <w:r>
        <w:rPr>
          <w:rtl w:val="true"/>
        </w:rPr>
        <w:t xml:space="preserve">; </w:t>
      </w:r>
      <w:r>
        <w:rPr>
          <w:rtl w:val="true"/>
        </w:rPr>
        <w:t>המחזיקים בנשק בעבירה</w:t>
      </w:r>
      <w:r>
        <w:rPr>
          <w:rtl w:val="true"/>
        </w:rPr>
        <w:t xml:space="preserve">, </w:t>
      </w:r>
      <w:r>
        <w:rPr>
          <w:rtl w:val="true"/>
        </w:rPr>
        <w:t>או הסוחרים בו</w:t>
      </w:r>
      <w:r>
        <w:rPr>
          <w:rtl w:val="true"/>
        </w:rPr>
        <w:t xml:space="preserve">, </w:t>
      </w:r>
      <w:r>
        <w:rPr>
          <w:rtl w:val="true"/>
        </w:rPr>
        <w:t>על פי רוב וככלל אינם עושים זאת אלא לצרכי עבירות אחרות</w:t>
      </w:r>
      <w:r>
        <w:rPr>
          <w:rtl w:val="true"/>
        </w:rPr>
        <w:t xml:space="preserve">, </w:t>
      </w:r>
      <w:r>
        <w:rPr>
          <w:rtl w:val="true"/>
        </w:rPr>
        <w:t>הכרוכות באלימות או בהפחדה</w:t>
      </w:r>
      <w:r>
        <w:rPr>
          <w:rtl w:val="true"/>
        </w:rPr>
        <w:t xml:space="preserve">. </w:t>
      </w:r>
      <w:r>
        <w:rPr>
          <w:rtl w:val="true"/>
        </w:rPr>
        <w:t>נשק נועד לירות</w:t>
      </w:r>
      <w:r>
        <w:rPr>
          <w:rtl w:val="true"/>
        </w:rPr>
        <w:t xml:space="preserve">, </w:t>
      </w:r>
      <w:r>
        <w:rPr>
          <w:rtl w:val="true"/>
        </w:rPr>
        <w:t>וטבעו גם שבשעת ה</w:t>
      </w:r>
      <w:r>
        <w:rPr>
          <w:rtl w:val="true"/>
        </w:rPr>
        <w:t>"</w:t>
      </w:r>
      <w:r>
        <w:rPr>
          <w:rtl w:val="true"/>
        </w:rPr>
        <w:t>צורך</w:t>
      </w:r>
      <w:r>
        <w:rPr>
          <w:rtl w:val="true"/>
        </w:rPr>
        <w:t xml:space="preserve">" </w:t>
      </w:r>
      <w:r>
        <w:rPr>
          <w:rtl w:val="true"/>
        </w:rPr>
        <w:t>הסובייקטיבי</w:t>
      </w:r>
      <w:r>
        <w:rPr>
          <w:rtl w:val="true"/>
        </w:rPr>
        <w:t xml:space="preserve">, </w:t>
      </w:r>
      <w:r>
        <w:rPr>
          <w:rtl w:val="true"/>
        </w:rPr>
        <w:t>זדוני ומרושע ככל שיהיה</w:t>
      </w:r>
      <w:r>
        <w:rPr>
          <w:rtl w:val="true"/>
        </w:rPr>
        <w:t xml:space="preserve">, </w:t>
      </w:r>
      <w:r>
        <w:rPr>
          <w:rtl w:val="true"/>
        </w:rPr>
        <w:t>עלולה האצבע להיות קלה על ההדק</w:t>
      </w:r>
      <w:r>
        <w:rPr>
          <w:rtl w:val="true"/>
        </w:rPr>
        <w:t>".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ור</w:t>
      </w:r>
      <w:r>
        <w:rPr>
          <w:rtl w:val="true"/>
        </w:rPr>
        <w:t xml:space="preserve">' </w:t>
      </w:r>
      <w:r>
        <w:rPr>
          <w:rtl w:val="true"/>
        </w:rPr>
        <w:t>גם   את דברי בית המשפט העליון ב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5220/09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הייתם עוואודה נגד 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>):</w:t>
      </w:r>
    </w:p>
    <w:p>
      <w:pPr>
        <w:pStyle w:val="Normal"/>
        <w:spacing w:lineRule="auto" w:line="360"/>
        <w:ind w:start="1106" w:end="720"/>
        <w:jc w:val="both"/>
        <w:rPr/>
      </w:pPr>
      <w:r>
        <w:rPr>
          <w:rtl w:val="true"/>
        </w:rPr>
        <w:t>"</w:t>
      </w:r>
      <w:r>
        <w:rPr>
          <w:rtl w:val="true"/>
        </w:rPr>
        <w:t>אך נשק הוא נשק הוא נשק</w:t>
      </w:r>
      <w:r>
        <w:rPr>
          <w:rtl w:val="true"/>
        </w:rPr>
        <w:t xml:space="preserve">, </w:t>
      </w:r>
      <w:r>
        <w:rPr>
          <w:rtl w:val="true"/>
        </w:rPr>
        <w:t>ובנסיבות הישראליות נשק בידיים לא מורשות עלול להתגלגל למקום לא טוב</w:t>
      </w:r>
      <w:r>
        <w:rPr>
          <w:rtl w:val="true"/>
        </w:rPr>
        <w:t xml:space="preserve">, </w:t>
      </w:r>
      <w:r>
        <w:rPr>
          <w:rtl w:val="true"/>
        </w:rPr>
        <w:t xml:space="preserve">וכדברי האומר </w:t>
      </w:r>
      <w:r>
        <w:rPr>
          <w:rtl w:val="true"/>
        </w:rPr>
        <w:t>"</w:t>
      </w:r>
      <w:r>
        <w:rPr>
          <w:rtl w:val="true"/>
        </w:rPr>
        <w:t>מחזה במערכתו הראשונה נראה אקדח</w:t>
      </w:r>
      <w:r>
        <w:rPr>
          <w:rtl w:val="true"/>
        </w:rPr>
        <w:t xml:space="preserve">, </w:t>
      </w:r>
      <w:r>
        <w:rPr>
          <w:rtl w:val="true"/>
        </w:rPr>
        <w:t>עשוי האקדח לירות במערכה האחרונה</w:t>
      </w:r>
      <w:r>
        <w:rPr>
          <w:rtl w:val="true"/>
        </w:rPr>
        <w:t>".</w:t>
      </w:r>
    </w:p>
    <w:p>
      <w:pPr>
        <w:pStyle w:val="Normal"/>
        <w:ind w:start="1106"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/>
      </w:pPr>
      <w:r>
        <w:rPr>
          <w:rtl w:val="true"/>
        </w:rPr>
        <w:t>ענין נוסף שאליו מתייחסת התביעה</w:t>
      </w:r>
      <w:r>
        <w:rPr>
          <w:rtl w:val="true"/>
        </w:rPr>
        <w:t xml:space="preserve">, </w:t>
      </w:r>
      <w:r>
        <w:rPr>
          <w:rtl w:val="true"/>
        </w:rPr>
        <w:t>ואשר קיבל ביטוי נרחב בפסיקה בעת האחרונה</w:t>
      </w:r>
      <w:r>
        <w:rPr>
          <w:rtl w:val="true"/>
        </w:rPr>
        <w:t xml:space="preserve">, </w:t>
      </w:r>
      <w:r>
        <w:rPr>
          <w:rtl w:val="true"/>
        </w:rPr>
        <w:t>בכל הערכאות</w:t>
      </w:r>
      <w:r>
        <w:rPr>
          <w:rtl w:val="true"/>
        </w:rPr>
        <w:t xml:space="preserve">, </w:t>
      </w:r>
      <w:r>
        <w:rPr>
          <w:rtl w:val="true"/>
        </w:rPr>
        <w:t>הינו התרחבות והתפשטות התופעה של החזקה מסיבית של נשק לא חוקי בידי אנשים רבים</w:t>
      </w:r>
      <w:r>
        <w:rPr>
          <w:rtl w:val="true"/>
        </w:rPr>
        <w:t xml:space="preserve">, </w:t>
      </w:r>
      <w:r>
        <w:rPr>
          <w:rtl w:val="true"/>
        </w:rPr>
        <w:t>תופעה הבאה לידי ביטוי במחוז זה באופן ברור ביותר</w:t>
      </w:r>
      <w:r>
        <w:rPr>
          <w:rtl w:val="true"/>
        </w:rPr>
        <w:t xml:space="preserve">, </w:t>
      </w:r>
      <w:r>
        <w:rPr>
          <w:rtl w:val="true"/>
        </w:rPr>
        <w:t>והמניבה לעתים קרובות מדי אבדן של חיי אדם משום זמינותו של אותו נשק</w:t>
      </w:r>
      <w:r>
        <w:rPr>
          <w:rtl w:val="true"/>
        </w:rPr>
        <w:t xml:space="preserve">, </w:t>
      </w:r>
      <w:r>
        <w:rPr>
          <w:rtl w:val="true"/>
        </w:rPr>
        <w:t>הקלות הרבה שבהשגתו ובשימוש בו והעובדה כי החזקתו של נשק בלתי חוקי הפכה כמעט לנורמה בקרב קבוצות מסויימות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התפתח שוק של ממש בכלי נשק שונים וממילא גם באביזרים ותחמושת לאותם כלי נשק</w:t>
      </w:r>
      <w:r>
        <w:rPr>
          <w:rtl w:val="true"/>
        </w:rPr>
        <w:t xml:space="preserve">, </w:t>
      </w:r>
      <w:r>
        <w:rPr>
          <w:rtl w:val="true"/>
        </w:rPr>
        <w:t>שממדיו הפכו מפלצתיים ממש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/>
      </w:pP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אין תימה כי בתי המשפט הדנים לאחרונה בעבירות אלו</w:t>
      </w:r>
      <w:r>
        <w:rPr>
          <w:rtl w:val="true"/>
        </w:rPr>
        <w:t xml:space="preserve">, </w:t>
      </w:r>
      <w:r>
        <w:rPr>
          <w:rtl w:val="true"/>
        </w:rPr>
        <w:t>ראו לגזור עונשים שיש בהם כדי להעלות את רמת הענישה שהיתה מקובלת עד לאחרונה בעבירות נשק</w:t>
      </w:r>
      <w:r>
        <w:rPr>
          <w:rtl w:val="true"/>
        </w:rPr>
        <w:t xml:space="preserve">, </w:t>
      </w:r>
      <w:r>
        <w:rPr>
          <w:rtl w:val="true"/>
        </w:rPr>
        <w:t>ואשר אף היא כללה עונשי מאסר לתקופות לא מבוטלות</w:t>
      </w:r>
      <w:r>
        <w:rPr>
          <w:rtl w:val="true"/>
        </w:rPr>
        <w:t xml:space="preserve">, </w:t>
      </w:r>
      <w:r>
        <w:rPr>
          <w:rtl w:val="true"/>
        </w:rPr>
        <w:t>וזאת במטרה ללחום בכל האמצעים העומדים לרשות רשויות האכיפה בתופעה אימתנית זו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את דברי בית המשפט המחוזי בנצרת 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50018-10-10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וליד עבאס נגד מדינת ישראל</w:t>
        </w:r>
      </w:hyperlink>
      <w:r>
        <w:rPr>
          <w:rtl w:val="true"/>
        </w:rPr>
        <w:t xml:space="preserve">, </w:t>
      </w:r>
      <w:r>
        <w:rPr>
          <w:rtl w:val="true"/>
        </w:rPr>
        <w:t>מפי כב</w:t>
      </w:r>
      <w:r>
        <w:rPr>
          <w:rtl w:val="true"/>
        </w:rPr>
        <w:t xml:space="preserve">' </w:t>
      </w:r>
      <w:r>
        <w:rPr>
          <w:rtl w:val="true"/>
        </w:rPr>
        <w:t>השופטת הלמן</w:t>
      </w:r>
      <w:r>
        <w:rPr>
          <w:rtl w:val="true"/>
        </w:rPr>
        <w:t>, (</w:t>
      </w:r>
      <w:r>
        <w:rPr>
          <w:rtl w:val="true"/>
        </w:rPr>
        <w:t>בערעור על גזר דינו של כב</w:t>
      </w:r>
      <w:r>
        <w:rPr>
          <w:rtl w:val="true"/>
        </w:rPr>
        <w:t xml:space="preserve">' </w:t>
      </w:r>
      <w:r>
        <w:rPr>
          <w:rtl w:val="true"/>
        </w:rPr>
        <w:t>השופט פורת ב</w:t>
      </w:r>
      <w:hyperlink r:id="rId1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374-03-10</w:t>
        </w:r>
      </w:hyperlink>
      <w:r>
        <w:rPr>
          <w:rtl w:val="true"/>
        </w:rPr>
        <w:t>(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1106" w:end="720"/>
        <w:jc w:val="both"/>
        <w:rPr/>
      </w:pPr>
      <w:r>
        <w:rPr>
          <w:rtl w:val="true"/>
        </w:rPr>
        <w:t>"</w:t>
      </w:r>
      <w:r>
        <w:rPr>
          <w:rtl w:val="true"/>
        </w:rPr>
        <w:t>בית המשפט קמא עמד על הצורך להעלות את רף הענישה בעבירות של החזקת ונשיאת נשק</w:t>
      </w:r>
      <w:r>
        <w:rPr>
          <w:rtl w:val="true"/>
        </w:rPr>
        <w:t xml:space="preserve">, </w:t>
      </w:r>
      <w:r>
        <w:rPr>
          <w:rtl w:val="true"/>
        </w:rPr>
        <w:t>ואין לי אלא להצטרף למסר זה</w:t>
      </w:r>
      <w:r>
        <w:rPr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ובהמשך אותו פסק דין את דבריו של כב</w:t>
      </w:r>
      <w:r>
        <w:rPr>
          <w:rtl w:val="true"/>
        </w:rPr>
        <w:t xml:space="preserve">' </w:t>
      </w:r>
      <w:r>
        <w:rPr>
          <w:rtl w:val="true"/>
        </w:rPr>
        <w:t>השופט עילבוני</w:t>
      </w:r>
      <w:r>
        <w:rPr>
          <w:rtl w:val="true"/>
        </w:rPr>
        <w:t>:</w:t>
      </w:r>
    </w:p>
    <w:p>
      <w:pPr>
        <w:pStyle w:val="Normal"/>
        <w:spacing w:lineRule="auto" w:line="360"/>
        <w:ind w:start="1106" w:end="720"/>
        <w:jc w:val="both"/>
        <w:rPr/>
      </w:pPr>
      <w:r>
        <w:rPr>
          <w:rtl w:val="true"/>
        </w:rPr>
        <w:t>"</w:t>
      </w:r>
      <w:r>
        <w:rPr>
          <w:rtl w:val="true"/>
        </w:rPr>
        <w:t>עוד יודגש כי בשנים האחרונות</w:t>
      </w:r>
      <w:r>
        <w:rPr>
          <w:rtl w:val="true"/>
        </w:rPr>
        <w:t xml:space="preserve">, </w:t>
      </w:r>
      <w:r>
        <w:rPr>
          <w:rtl w:val="true"/>
        </w:rPr>
        <w:t>עדים אנו לגאות מדאיגה של עבירות</w:t>
      </w:r>
      <w:r>
        <w:rPr>
          <w:rtl w:val="true"/>
        </w:rPr>
        <w:t xml:space="preserve">, </w:t>
      </w:r>
      <w:r>
        <w:rPr>
          <w:rtl w:val="true"/>
        </w:rPr>
        <w:t>הן במישור הכמות והן במישור החומרה</w:t>
      </w:r>
      <w:r>
        <w:rPr>
          <w:rtl w:val="true"/>
        </w:rPr>
        <w:t xml:space="preserve">, </w:t>
      </w:r>
      <w:r>
        <w:rPr>
          <w:rtl w:val="true"/>
        </w:rPr>
        <w:t>של עבירות נשק ופשיעה חמורה המבוצעת בנשק המוחזק על ידי מי שלא הותר לו להחזיקו</w:t>
      </w:r>
      <w:r>
        <w:rPr>
          <w:rtl w:val="true"/>
        </w:rPr>
        <w:t xml:space="preserve">. </w:t>
      </w: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>התופעה – לא אחת – גובה קורבנות מקרב אזרחים תמימים חפים מפשע</w:t>
      </w:r>
      <w:r>
        <w:rPr>
          <w:rtl w:val="true"/>
        </w:rPr>
        <w:t xml:space="preserve">. </w:t>
      </w:r>
      <w:r>
        <w:rPr>
          <w:rtl w:val="true"/>
        </w:rPr>
        <w:t>גאות זו עלולה לערער את הביטחון האישי של כל אזרח תמים</w:t>
      </w:r>
      <w:r>
        <w:rPr>
          <w:rtl w:val="true"/>
        </w:rPr>
        <w:t xml:space="preserve">, </w:t>
      </w:r>
      <w:r>
        <w:rPr>
          <w:rtl w:val="true"/>
        </w:rPr>
        <w:t>לכן שומה על כלל מערכות החברה להילחם בה מלחמת חורמה חסרת פשרות</w:t>
      </w:r>
      <w:r>
        <w:rPr>
          <w:rtl w:val="true"/>
        </w:rPr>
        <w:t xml:space="preserve">, </w:t>
      </w:r>
      <w:r>
        <w:rPr>
          <w:rtl w:val="true"/>
        </w:rPr>
        <w:t>וראוי כי מגמת הענישה שהחל – מגמת ההחמרה – תימשך אף ביתר שאת</w:t>
      </w:r>
      <w:r>
        <w:rPr>
          <w:rtl w:val="true"/>
        </w:rPr>
        <w:t>".</w:t>
      </w:r>
    </w:p>
    <w:p>
      <w:pPr>
        <w:pStyle w:val="Normal"/>
        <w:spacing w:lineRule="auto" w:line="360"/>
        <w:ind w:start="566" w:end="720"/>
        <w:jc w:val="both"/>
        <w:rPr/>
      </w:pPr>
      <w:r>
        <w:rPr>
          <w:rtl w:val="true"/>
        </w:rPr>
        <w:t>בכל הכבוד</w:t>
      </w:r>
      <w:r>
        <w:rPr>
          <w:rtl w:val="true"/>
        </w:rPr>
        <w:t xml:space="preserve">, </w:t>
      </w:r>
      <w:r>
        <w:rPr>
          <w:rtl w:val="true"/>
        </w:rPr>
        <w:t>ארשה לעצמי להצטרף לדברים אלו</w:t>
      </w:r>
      <w:r>
        <w:rPr>
          <w:rtl w:val="true"/>
        </w:rPr>
        <w:t>.</w:t>
      </w:r>
    </w:p>
    <w:p>
      <w:pPr>
        <w:pStyle w:val="Normal"/>
        <w:ind w:start="1106"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/>
      </w:pPr>
      <w:r>
        <w:rPr>
          <w:rtl w:val="true"/>
        </w:rPr>
        <w:t>ולבסוף</w:t>
      </w:r>
      <w:r>
        <w:rPr>
          <w:rtl w:val="true"/>
        </w:rPr>
        <w:t xml:space="preserve">: </w:t>
      </w:r>
      <w:r>
        <w:rPr>
          <w:rtl w:val="true"/>
        </w:rPr>
        <w:t>חרף האמור לעיל</w:t>
      </w:r>
      <w:r>
        <w:rPr>
          <w:rtl w:val="true"/>
        </w:rPr>
        <w:t xml:space="preserve">, </w:t>
      </w:r>
      <w:r>
        <w:rPr>
          <w:rtl w:val="true"/>
        </w:rPr>
        <w:t>אין חולק כי ענישתו של נאשם היא לעולם ענישה אינדיבידואלית</w:t>
      </w:r>
      <w:r>
        <w:rPr>
          <w:rtl w:val="true"/>
        </w:rPr>
        <w:t xml:space="preserve">, </w:t>
      </w:r>
      <w:r>
        <w:rPr>
          <w:rtl w:val="true"/>
        </w:rPr>
        <w:t>המתאימה לנאשם המסויים את העונש הראוי לו תוך שילוב ואיזון בין הגורמים החיצוניים הנוגעים לטיב העבירה</w:t>
      </w:r>
      <w:r>
        <w:rPr>
          <w:rtl w:val="true"/>
        </w:rPr>
        <w:t xml:space="preserve">, </w:t>
      </w:r>
      <w:r>
        <w:rPr>
          <w:rtl w:val="true"/>
        </w:rPr>
        <w:t>נסיבותיה ותוצאותיה ביחד עם מדיניות הענישה המקובלת לגבי עבירות דומות</w:t>
      </w:r>
      <w:r>
        <w:rPr>
          <w:rtl w:val="true"/>
        </w:rPr>
        <w:t xml:space="preserve">, </w:t>
      </w:r>
      <w:r>
        <w:rPr>
          <w:rtl w:val="true"/>
        </w:rPr>
        <w:t>לבין הגורמים הפנימיים –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עברו הפלילי</w:t>
      </w:r>
      <w:r>
        <w:rPr>
          <w:rtl w:val="true"/>
        </w:rPr>
        <w:t xml:space="preserve">, </w:t>
      </w:r>
      <w:r>
        <w:rPr>
          <w:rtl w:val="true"/>
        </w:rPr>
        <w:t>המניע שביסוד העבירה</w:t>
      </w:r>
      <w:r>
        <w:rPr>
          <w:rtl w:val="true"/>
        </w:rPr>
        <w:t xml:space="preserve">, </w:t>
      </w:r>
      <w:r>
        <w:rPr>
          <w:rtl w:val="true"/>
        </w:rPr>
        <w:t>גישתו אל העבירה ומידת החשש מפני חזרה על אותן עבירות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/>
      </w:pPr>
      <w:r>
        <w:rPr>
          <w:rtl w:val="true"/>
        </w:rPr>
        <w:t>בעבירות נשק</w:t>
      </w:r>
      <w:r>
        <w:rPr>
          <w:rtl w:val="true"/>
        </w:rPr>
        <w:t xml:space="preserve">, </w:t>
      </w:r>
      <w:r>
        <w:rPr>
          <w:rtl w:val="true"/>
        </w:rPr>
        <w:t>קובעת הפסיקה באופן עקבי ונחרץ</w:t>
      </w:r>
      <w:r>
        <w:rPr>
          <w:rtl w:val="true"/>
        </w:rPr>
        <w:t xml:space="preserve">, </w:t>
      </w:r>
      <w:r>
        <w:rPr>
          <w:rtl w:val="true"/>
        </w:rPr>
        <w:t>כי נסיבותיו האישיות של הנאשם יסוגו מפני צרכי החברה בתגמול ובעיקר בהרתעה מפני ביצוען</w:t>
      </w:r>
      <w:r>
        <w:rPr>
          <w:rtl w:val="true"/>
        </w:rPr>
        <w:t xml:space="preserve">, </w:t>
      </w:r>
      <w:r>
        <w:rPr>
          <w:rtl w:val="true"/>
        </w:rPr>
        <w:t>וכי גם כאשר מבוצעות עבירות אלו בידי מי שעברו נקי לחלוטין</w:t>
      </w:r>
      <w:r>
        <w:rPr>
          <w:rtl w:val="true"/>
        </w:rPr>
        <w:t xml:space="preserve">, </w:t>
      </w:r>
      <w:r>
        <w:rPr>
          <w:rtl w:val="true"/>
        </w:rPr>
        <w:t>אין בכך כדי לפטרו מעונש מאסר משמעותי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בענין זה את דברי כב</w:t>
      </w:r>
      <w:r>
        <w:rPr>
          <w:rtl w:val="true"/>
        </w:rPr>
        <w:t xml:space="preserve">' </w:t>
      </w:r>
      <w:r>
        <w:rPr>
          <w:rtl w:val="true"/>
        </w:rPr>
        <w:t>השופט ג</w:t>
      </w:r>
      <w:r>
        <w:rPr>
          <w:rtl w:val="true"/>
        </w:rPr>
        <w:t>'</w:t>
      </w:r>
      <w:r>
        <w:rPr>
          <w:rtl w:val="true"/>
        </w:rPr>
        <w:t>ובראן ב</w:t>
      </w:r>
      <w:hyperlink r:id="rId1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2718/04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פואד אבו דאחל נגד מדינת ישראל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>):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926" w:end="540"/>
        <w:jc w:val="both"/>
        <w:rPr/>
      </w:pPr>
      <w:r>
        <w:rPr>
          <w:rtl w:val="true"/>
        </w:rPr>
        <w:t>"</w:t>
      </w:r>
      <w:r>
        <w:rPr>
          <w:rtl w:val="true"/>
        </w:rPr>
        <w:t>מעבר לנדרש</w:t>
      </w:r>
      <w:r>
        <w:rPr>
          <w:rtl w:val="true"/>
        </w:rPr>
        <w:t xml:space="preserve">, </w:t>
      </w:r>
      <w:r>
        <w:rPr>
          <w:rtl w:val="true"/>
        </w:rPr>
        <w:t>יוער כי הסכנה הטמונה בעבירה החמורה של החזקת נשק מצדיקה הטלת עונשי מאסר לריצוי בפועל גם על מי שזו עבירתו הראשונה</w:t>
      </w:r>
      <w:r>
        <w:rPr>
          <w:rtl w:val="true"/>
        </w:rPr>
        <w:t xml:space="preserve">. </w:t>
      </w:r>
      <w:r>
        <w:rPr>
          <w:rtl w:val="true"/>
        </w:rPr>
        <w:t>בבוא בית</w:t>
      </w:r>
      <w:r>
        <w:rPr>
          <w:rtl w:val="true"/>
        </w:rPr>
        <w:t>-</w:t>
      </w:r>
      <w:r>
        <w:rPr>
          <w:rtl w:val="true"/>
        </w:rPr>
        <w:t>המשפט לשקול את הענישה בעבירות מסוג זה</w:t>
      </w:r>
      <w:r>
        <w:rPr>
          <w:rtl w:val="true"/>
        </w:rPr>
        <w:t xml:space="preserve">, </w:t>
      </w:r>
      <w:r>
        <w:rPr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rtl w:val="true"/>
        </w:rPr>
        <w:t xml:space="preserve">, </w:t>
      </w:r>
      <w:r>
        <w:rPr>
          <w:rtl w:val="true"/>
        </w:rPr>
        <w:t>על פני הנסיבות האישיות של העבריין</w:t>
      </w:r>
      <w:r>
        <w:rPr>
          <w:rtl w:val="true"/>
        </w:rPr>
        <w:t>. (</w:t>
      </w:r>
      <w:r>
        <w:rPr>
          <w:rtl w:val="true"/>
        </w:rPr>
        <w:t xml:space="preserve">ראו והשוו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5066/98</w:t>
      </w:r>
      <w:r>
        <w:rPr>
          <w:rtl w:val="true"/>
        </w:rPr>
        <w:t xml:space="preserve"> </w:t>
      </w:r>
      <w:r>
        <w:rPr>
          <w:rtl w:val="true"/>
        </w:rPr>
        <w:t>מדינת ישראל נ</w:t>
      </w:r>
      <w:r>
        <w:rPr>
          <w:rtl w:val="true"/>
        </w:rPr>
        <w:t xml:space="preserve">' </w:t>
      </w:r>
      <w:r>
        <w:rPr>
          <w:rtl w:val="true"/>
        </w:rPr>
        <w:t>ניעמן דחלה ואח</w:t>
      </w:r>
      <w:r>
        <w:rPr>
          <w:rtl w:val="true"/>
        </w:rPr>
        <w:t xml:space="preserve">',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 xml:space="preserve">על </w:t>
      </w:r>
      <w:r>
        <w:rPr/>
        <w:t>99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1574</w:t>
      </w:r>
      <w:r>
        <w:rPr>
          <w:rtl w:val="true"/>
        </w:rPr>
        <w:t>)".</w:t>
      </w:r>
    </w:p>
    <w:p>
      <w:pPr>
        <w:pStyle w:val="Normal"/>
        <w:overflowPunct w:val="false"/>
        <w:autoSpaceDE w:val="false"/>
        <w:spacing w:lineRule="auto" w:line="360"/>
        <w:ind w:start="566" w:end="540"/>
        <w:jc w:val="both"/>
        <w:rPr/>
      </w:pPr>
      <w:r>
        <w:rPr>
          <w:rtl w:val="true"/>
        </w:rPr>
        <w:t>ברוח זו פסקו בתי המשפט פעם אחר פעם</w:t>
      </w:r>
      <w:r>
        <w:rPr>
          <w:rtl w:val="true"/>
        </w:rPr>
        <w:t xml:space="preserve">, </w:t>
      </w:r>
      <w:r>
        <w:rPr>
          <w:rtl w:val="true"/>
        </w:rPr>
        <w:t>והדברים הם כיום בבחינת הלכה מושרשת</w:t>
      </w:r>
      <w:r>
        <w:rPr>
          <w:rtl w:val="true"/>
        </w:rPr>
        <w:t xml:space="preserve">. 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 xml:space="preserve">למשל את </w:t>
      </w:r>
      <w:hyperlink r:id="rId1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449-10-09</w:t>
        </w:r>
      </w:hyperlink>
      <w:r>
        <w:rPr>
          <w:u w:val="single"/>
          <w:rtl w:val="true"/>
        </w:rPr>
        <w:t xml:space="preserve"> (</w:t>
      </w:r>
      <w:r>
        <w:rPr>
          <w:u w:val="single"/>
          <w:rtl w:val="true"/>
        </w:rPr>
        <w:t>מחוזי חיפה</w:t>
      </w:r>
      <w:r>
        <w:rPr>
          <w:u w:val="single"/>
          <w:rtl w:val="true"/>
        </w:rPr>
        <w:t xml:space="preserve">) </w:t>
      </w:r>
      <w:r>
        <w:rPr>
          <w:u w:val="single"/>
          <w:rtl w:val="true"/>
        </w:rPr>
        <w:t>מדינת ישראל נגד עומר עבד אל לטיף</w:t>
      </w:r>
      <w:r>
        <w:rPr>
          <w:rtl w:val="true"/>
        </w:rPr>
        <w:t xml:space="preserve">, </w:t>
      </w:r>
      <w:r>
        <w:rPr>
          <w:rtl w:val="true"/>
        </w:rPr>
        <w:t>מפי כב</w:t>
      </w:r>
      <w:r>
        <w:rPr>
          <w:rtl w:val="true"/>
        </w:rPr>
        <w:t xml:space="preserve">' </w:t>
      </w:r>
      <w:r>
        <w:rPr>
          <w:rtl w:val="true"/>
        </w:rPr>
        <w:t>סגן הנשיא</w:t>
      </w:r>
      <w:r>
        <w:rPr>
          <w:rtl w:val="true"/>
        </w:rPr>
        <w:t xml:space="preserve">, </w:t>
      </w:r>
      <w:r>
        <w:rPr>
          <w:rtl w:val="true"/>
        </w:rPr>
        <w:t>השופט שיף</w:t>
      </w:r>
      <w:r>
        <w:rPr>
          <w:rtl w:val="true"/>
        </w:rPr>
        <w:t xml:space="preserve">, </w:t>
      </w:r>
      <w:r>
        <w:rPr>
          <w:rtl w:val="true"/>
        </w:rPr>
        <w:t xml:space="preserve">ואת 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. (</w:t>
        </w:r>
        <w:r>
          <w:rPr>
            <w:rStyle w:val="Hyperlink"/>
            <w:rtl w:val="true"/>
          </w:rPr>
          <w:t>מחוזי נצרת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3/10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מדינת ישראל נגד מוחמד איסמעיל</w:t>
      </w:r>
      <w:r>
        <w:rPr>
          <w:rtl w:val="true"/>
        </w:rPr>
        <w:t xml:space="preserve">, </w:t>
      </w:r>
      <w:r>
        <w:rPr>
          <w:rtl w:val="true"/>
        </w:rPr>
        <w:t>מפי כב</w:t>
      </w:r>
      <w:r>
        <w:rPr>
          <w:rtl w:val="true"/>
        </w:rPr>
        <w:t xml:space="preserve">' </w:t>
      </w:r>
      <w:r>
        <w:rPr>
          <w:rtl w:val="true"/>
        </w:rPr>
        <w:t>סגן הנשיא</w:t>
      </w:r>
      <w:r>
        <w:rPr>
          <w:rtl w:val="true"/>
        </w:rPr>
        <w:t xml:space="preserve">, </w:t>
      </w:r>
      <w:r>
        <w:rPr>
          <w:rtl w:val="true"/>
        </w:rPr>
        <w:t>השופט כתיילי</w:t>
      </w:r>
      <w:r>
        <w:rPr>
          <w:rtl w:val="true"/>
        </w:rPr>
        <w:t xml:space="preserve">. </w:t>
      </w:r>
    </w:p>
    <w:p>
      <w:pPr>
        <w:pStyle w:val="Normal"/>
        <w:ind w:start="1106"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/>
      </w:pPr>
      <w:r>
        <w:rPr>
          <w:rtl w:val="true"/>
        </w:rPr>
        <w:t>הסניגור מבקש להיבנות מגזר הדין שניתן בבית המשפט המחוזי בנצרת ב</w:t>
      </w:r>
      <w:hyperlink r:id="rId1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17252-02-11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מדינת ישראל נגד נחלה</w:t>
      </w:r>
      <w:r>
        <w:rPr>
          <w:rtl w:val="true"/>
        </w:rPr>
        <w:t xml:space="preserve">, </w:t>
      </w:r>
      <w:r>
        <w:rPr>
          <w:rtl w:val="true"/>
        </w:rPr>
        <w:t>נגד נאשם בפרשה זו</w:t>
      </w:r>
      <w:r>
        <w:rPr>
          <w:rtl w:val="true"/>
        </w:rPr>
        <w:t xml:space="preserve">, </w:t>
      </w:r>
      <w:r>
        <w:rPr>
          <w:rtl w:val="true"/>
        </w:rPr>
        <w:t>אשר חלקו היה גדול יותר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מזה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ואשר נדון למאסר של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עיון בטיעוני הצדדים לעונש באותו תיק ובגזר הדין</w:t>
      </w:r>
      <w:r>
        <w:rPr>
          <w:rtl w:val="true"/>
        </w:rPr>
        <w:t xml:space="preserve">, </w:t>
      </w:r>
      <w:r>
        <w:rPr>
          <w:rtl w:val="true"/>
        </w:rPr>
        <w:t>מלמד כי מדובר בפסק דין חריג</w:t>
      </w:r>
      <w:r>
        <w:rPr>
          <w:rtl w:val="true"/>
        </w:rPr>
        <w:t xml:space="preserve">, </w:t>
      </w:r>
      <w:r>
        <w:rPr>
          <w:rtl w:val="true"/>
        </w:rPr>
        <w:t>שניתן במסגרת הסדר שנעשה שלא כתקדים</w:t>
      </w:r>
      <w:r>
        <w:rPr>
          <w:rtl w:val="true"/>
        </w:rPr>
        <w:t xml:space="preserve">, </w:t>
      </w:r>
      <w:r>
        <w:rPr>
          <w:rtl w:val="true"/>
        </w:rPr>
        <w:t>ונוכח קשיים ראייתיים שנתגלעו 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אינני סבורה כי יש לראות דווקא בפסק דין זה אמת מידה נכונה לשם גזירת דינו של הנאשם בתיק זה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/>
      </w:pPr>
      <w:r>
        <w:rPr>
          <w:rtl w:val="true"/>
        </w:rPr>
        <w:t>הובלתם של אביזרים ותחמושת בכמות שאותה החזיק הנאשם ונשא</w:t>
      </w:r>
      <w:r>
        <w:rPr>
          <w:rtl w:val="true"/>
        </w:rPr>
        <w:t xml:space="preserve">, </w:t>
      </w:r>
      <w:r>
        <w:rPr>
          <w:rtl w:val="true"/>
        </w:rPr>
        <w:t>משמעותה לא רק אדישות פושעת לשלומם וחייהם של תושבי המדינה</w:t>
      </w:r>
      <w:r>
        <w:rPr>
          <w:rtl w:val="true"/>
        </w:rPr>
        <w:t xml:space="preserve">, </w:t>
      </w:r>
      <w:r>
        <w:rPr>
          <w:rtl w:val="true"/>
        </w:rPr>
        <w:t>אלא סיוע של ממש למי שחפץ לעשות שימוש באותו נשק</w:t>
      </w:r>
      <w:r>
        <w:rPr>
          <w:rtl w:val="true"/>
        </w:rPr>
        <w:t xml:space="preserve">. </w:t>
      </w:r>
      <w:r>
        <w:rPr>
          <w:rtl w:val="true"/>
        </w:rPr>
        <w:t>יש לזכור כי התחמושת והאביזרים שנשא הנאשם אינם עומדים בזכות עצמם</w:t>
      </w:r>
      <w:r>
        <w:rPr>
          <w:rtl w:val="true"/>
        </w:rPr>
        <w:t xml:space="preserve">, </w:t>
      </w:r>
      <w:r>
        <w:rPr>
          <w:rtl w:val="true"/>
        </w:rPr>
        <w:t>ואספקתם יש בה כדי להשמיש כלי נשק העומדים הכן לשימוש</w:t>
      </w:r>
      <w:r>
        <w:rPr>
          <w:rtl w:val="true"/>
        </w:rPr>
        <w:t xml:space="preserve">, </w:t>
      </w:r>
      <w:r>
        <w:rPr>
          <w:rtl w:val="true"/>
        </w:rPr>
        <w:t>ולאפשר את אותו שימוש פוגעני בהם</w:t>
      </w:r>
      <w:r>
        <w:rPr>
          <w:rtl w:val="true"/>
        </w:rPr>
        <w:t xml:space="preserve">. </w:t>
      </w:r>
      <w:r>
        <w:rPr>
          <w:rtl w:val="true"/>
        </w:rPr>
        <w:t>זאת ידע הנאשם</w:t>
      </w:r>
      <w:r>
        <w:rPr>
          <w:rtl w:val="true"/>
        </w:rPr>
        <w:t xml:space="preserve">, </w:t>
      </w:r>
      <w:r>
        <w:rPr>
          <w:rtl w:val="true"/>
        </w:rPr>
        <w:t>וחרף זאת עשה את שעשה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גם אם מעשיו של הנאשם נבעו מתוך בצע כסף אינני רואה כיצד יש בכך משום נסיבה מקלה</w:t>
      </w:r>
      <w:r>
        <w:rPr>
          <w:rtl w:val="true"/>
        </w:rPr>
        <w:t xml:space="preserve">, </w:t>
      </w:r>
      <w:r>
        <w:rPr>
          <w:rtl w:val="true"/>
        </w:rPr>
        <w:t>ואולי ההפך הוא הנכון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/>
      </w:pPr>
      <w:r>
        <w:rPr>
          <w:rtl w:val="true"/>
        </w:rPr>
        <w:t>העובדה כי הנאשם החזיק ונשא אביזרים ותחמושת ולא כלי נשק של ממש מחייבת כמובן התייחסות מקלה אל מול עבריינים שהורשעו בהחזקת ונשיאת כלי נשק</w:t>
      </w:r>
      <w:r>
        <w:rPr>
          <w:rtl w:val="true"/>
        </w:rPr>
        <w:t xml:space="preserve">, </w:t>
      </w:r>
      <w:r>
        <w:rPr>
          <w:rtl w:val="true"/>
        </w:rPr>
        <w:t>הן כתוצאה מן העונש הקבוע בחוק לצד העבירה והן כפועל יוצא של מידת הסיכון הנובעת מן הנשק עצמו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כאשר מדובר בכמות מסחרית ממש של תחמושת</w:t>
      </w:r>
      <w:r>
        <w:rPr>
          <w:rtl w:val="true"/>
        </w:rPr>
        <w:t xml:space="preserve">, </w:t>
      </w:r>
      <w:r>
        <w:rPr>
          <w:rtl w:val="true"/>
        </w:rPr>
        <w:t>שאיננה מוחזקת לעת מצוא אלא משונעת הישר אל תוך לוע הארי במטרה לחמש כלי נשק קיימים</w:t>
      </w:r>
      <w:r>
        <w:rPr>
          <w:rtl w:val="true"/>
        </w:rPr>
        <w:t xml:space="preserve">, </w:t>
      </w:r>
      <w:r>
        <w:rPr>
          <w:rtl w:val="true"/>
        </w:rPr>
        <w:t>באופן מאורגן ומתוכנן ותוך הטמנתו בתוך רכב</w:t>
      </w:r>
      <w:r>
        <w:rPr>
          <w:rtl w:val="true"/>
        </w:rPr>
        <w:t xml:space="preserve">, </w:t>
      </w:r>
      <w:r>
        <w:rPr>
          <w:rtl w:val="true"/>
        </w:rPr>
        <w:t>והכל למען בצע כסף</w:t>
      </w:r>
      <w:r>
        <w:rPr>
          <w:rtl w:val="true"/>
        </w:rPr>
        <w:t xml:space="preserve">, </w:t>
      </w:r>
      <w:r>
        <w:rPr>
          <w:rtl w:val="true"/>
        </w:rPr>
        <w:t>יש בנסיבות אלו משום חומרה שאינה פחותה מהחזקתו של כלי נשק ממש בנסיבות מסויימות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בנסיבות מקרה זה</w:t>
      </w:r>
      <w:r>
        <w:rPr>
          <w:rtl w:val="true"/>
        </w:rPr>
        <w:t xml:space="preserve">, </w:t>
      </w:r>
      <w:r>
        <w:rPr>
          <w:rtl w:val="true"/>
        </w:rPr>
        <w:t>אין ספק שיש להחמיר עם הנאשם לא פחות</w:t>
      </w:r>
      <w:r>
        <w:rPr>
          <w:rtl w:val="true"/>
        </w:rPr>
        <w:t xml:space="preserve">, </w:t>
      </w:r>
      <w:r>
        <w:rPr>
          <w:rtl w:val="true"/>
        </w:rPr>
        <w:t>ולעתים אף יותר</w:t>
      </w:r>
      <w:r>
        <w:rPr>
          <w:rtl w:val="true"/>
        </w:rPr>
        <w:t xml:space="preserve">, </w:t>
      </w:r>
      <w:r>
        <w:rPr>
          <w:rtl w:val="true"/>
        </w:rPr>
        <w:t>ממי שרק מחזיק את הנשק</w:t>
      </w:r>
      <w:r>
        <w:rPr>
          <w:rtl w:val="true"/>
        </w:rPr>
        <w:t xml:space="preserve">, </w:t>
      </w:r>
      <w:r>
        <w:rPr>
          <w:rtl w:val="true"/>
        </w:rPr>
        <w:t>במיוחד כשמדובר בפריטים בודדים</w:t>
      </w:r>
      <w:r>
        <w:rPr>
          <w:rtl w:val="true"/>
        </w:rPr>
        <w:t xml:space="preserve">, </w:t>
      </w:r>
      <w:r>
        <w:rPr>
          <w:rtl w:val="true"/>
        </w:rPr>
        <w:t>ואינו עושה כל פעולה לשם העברתו לאחר</w:t>
      </w:r>
      <w:r>
        <w:rPr>
          <w:rtl w:val="true"/>
        </w:rPr>
        <w:t xml:space="preserve">, </w:t>
      </w:r>
      <w:r>
        <w:rPr>
          <w:rtl w:val="true"/>
        </w:rPr>
        <w:t>לא כל שכן לגורמים עוניינים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/>
      </w:pPr>
      <w:r>
        <w:rPr>
          <w:rtl w:val="true"/>
        </w:rPr>
        <w:t xml:space="preserve">לזכות הנאשם יעמדו כמובן </w:t>
      </w:r>
      <w:r>
        <w:rPr>
          <w:rtl w:val="true"/>
        </w:rPr>
        <w:t>(</w:t>
      </w:r>
      <w:r>
        <w:rPr>
          <w:rtl w:val="true"/>
        </w:rPr>
        <w:t>אף כי במידה מוגבלת</w:t>
      </w:r>
      <w:r>
        <w:rPr>
          <w:rtl w:val="true"/>
        </w:rPr>
        <w:t xml:space="preserve">) </w:t>
      </w:r>
      <w:r>
        <w:rPr>
          <w:rtl w:val="true"/>
        </w:rPr>
        <w:t>עברו הנקי</w:t>
      </w:r>
      <w:r>
        <w:rPr>
          <w:rtl w:val="true"/>
        </w:rPr>
        <w:t xml:space="preserve">, </w:t>
      </w:r>
      <w:r>
        <w:rPr>
          <w:rtl w:val="true"/>
        </w:rPr>
        <w:t>נסיבות חייו הבעייתיות וכן הודאתו בשלב מוקדם של ההליכים</w:t>
      </w:r>
      <w:r>
        <w:rPr>
          <w:rtl w:val="true"/>
        </w:rPr>
        <w:t xml:space="preserve">, </w:t>
      </w:r>
      <w:r>
        <w:rPr>
          <w:rtl w:val="true"/>
        </w:rPr>
        <w:t>ואלו ישפיעו על משך המאסר שיוטל עליו</w:t>
      </w:r>
      <w:r>
        <w:rPr>
          <w:rtl w:val="true"/>
        </w:rPr>
        <w:t xml:space="preserve">, </w:t>
      </w:r>
      <w:r>
        <w:rPr>
          <w:rtl w:val="true"/>
        </w:rPr>
        <w:t>אך לא ימנעו הטלתו של עונש מאסר לתקופה משמעותית</w:t>
      </w:r>
      <w:r>
        <w:rPr>
          <w:rtl w:val="true"/>
        </w:rPr>
        <w:t xml:space="preserve">, </w:t>
      </w:r>
      <w:r>
        <w:rPr>
          <w:rtl w:val="true"/>
        </w:rPr>
        <w:t>והכל בהתחשב ברמת הענישה המוטלת בשנים האחרונות על ידי בתי המשפט במקרים דומים</w:t>
      </w:r>
      <w:r>
        <w:rPr>
          <w:rtl w:val="true"/>
        </w:rPr>
        <w:t xml:space="preserve">, </w:t>
      </w:r>
      <w:r>
        <w:rPr>
          <w:rtl w:val="true"/>
        </w:rPr>
        <w:t>ובאופן יחסי לחומרת המקרים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b/>
          <w:b/>
          <w:bCs/>
          <w:u w:val="single"/>
          <w:rtl w:val="true"/>
        </w:rPr>
        <w:t>לאור כל האמור לעיל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אני גוזרת על הנאשם עונשים כדלקמן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46" w:end="0"/>
        <w:jc w:val="both"/>
        <w:rPr/>
      </w:pPr>
      <w:r>
        <w:rPr>
          <w:rtl w:val="true"/>
        </w:rPr>
        <w:t xml:space="preserve">מאסר בפועל למשך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בניכוי ימי מעצרו מיום </w:t>
      </w:r>
      <w:r>
        <w:rPr/>
        <w:t>14/10/2010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2/12/2010</w:t>
      </w:r>
      <w:r>
        <w:rPr>
          <w:rtl w:val="true"/>
        </w:rPr>
        <w:t>.</w:t>
      </w:r>
    </w:p>
    <w:p>
      <w:pPr>
        <w:pStyle w:val="Normal"/>
        <w:ind w:start="38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46" w:end="0"/>
        <w:jc w:val="both"/>
        <w:rPr/>
      </w:pPr>
      <w:r>
        <w:rPr>
          <w:rtl w:val="true"/>
        </w:rPr>
        <w:t xml:space="preserve">מאסר על תנאי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כי לא יעבור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מן המאסר עבירה בנשק</w:t>
      </w:r>
      <w:r>
        <w:rPr>
          <w:rtl w:val="true"/>
        </w:rPr>
        <w:t>.</w:t>
      </w:r>
    </w:p>
    <w:p>
      <w:pPr>
        <w:pStyle w:val="Normal"/>
        <w:ind w:start="38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46" w:end="0"/>
        <w:jc w:val="both"/>
        <w:rPr/>
      </w:pPr>
      <w:r>
        <w:rPr>
          <w:rtl w:val="true"/>
        </w:rPr>
        <w:t xml:space="preserve">קנס בסך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תמורתו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חודשיים שווים ורצופים החל מיום </w:t>
      </w:r>
      <w:r>
        <w:rPr/>
        <w:t>1.9.11</w:t>
      </w:r>
      <w:r>
        <w:rPr>
          <w:rtl w:val="true"/>
        </w:rPr>
        <w:t xml:space="preserve">. </w:t>
      </w:r>
      <w:r>
        <w:rPr>
          <w:rtl w:val="true"/>
        </w:rPr>
        <w:t>במידה ותשלום כלשהו לא ישולם במועדו</w:t>
      </w:r>
      <w:r>
        <w:rPr>
          <w:rtl w:val="true"/>
        </w:rPr>
        <w:t xml:space="preserve">, </w:t>
      </w:r>
      <w:r>
        <w:rPr>
          <w:rtl w:val="true"/>
        </w:rPr>
        <w:t>תעמוד יתרת הקנס כולה לפרעון מיידי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 במשך תקופת המאסר וגובה הקנס</w:t>
      </w:r>
      <w:r>
        <w:rPr>
          <w:rtl w:val="true"/>
        </w:rPr>
        <w:t xml:space="preserve">, </w:t>
      </w:r>
      <w:r>
        <w:rPr>
          <w:rtl w:val="true"/>
        </w:rPr>
        <w:t>וכן בעובדה כי מדובר בעבירה ראשונה</w:t>
      </w:r>
      <w:r>
        <w:rPr>
          <w:rtl w:val="true"/>
        </w:rPr>
        <w:t xml:space="preserve">, </w:t>
      </w:r>
      <w:r>
        <w:rPr>
          <w:rtl w:val="true"/>
        </w:rPr>
        <w:t>וכן בעובדה כי הנאשם לא הורשע בעבירה של הסתייעות ברכב לביצוע פשע – אינני מורה על חילוט הרכב נשוא כתב 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מורה על החזרתו של רכב מסוג מיצובישי סופר לנסר 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26-593-20</w:t>
      </w:r>
      <w:r>
        <w:rPr>
          <w:rtl w:val="true"/>
        </w:rPr>
        <w:t xml:space="preserve"> </w:t>
      </w:r>
      <w:r>
        <w:rPr>
          <w:rtl w:val="true"/>
        </w:rPr>
        <w:t>לנאשם או למי מטעמו</w:t>
      </w:r>
      <w:r>
        <w:rPr>
          <w:rtl w:val="true"/>
        </w:rPr>
        <w:t xml:space="preserve">, </w:t>
      </w:r>
      <w:r>
        <w:rPr>
          <w:rtl w:val="true"/>
        </w:rPr>
        <w:t xml:space="preserve">וזאת בתוך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 xml:space="preserve">זכות ערעור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ניתן והודע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 xml:space="preserve">סיון 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לילי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יונג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גפר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 xml:space="preserve">סגנית </w:t>
            </w: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 xml:space="preserve">נשיא 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#9#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נדון למאסר בפועל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 והסנגור מבקש לעכב את תחילת ריצוי המאסר לשם הגשת ערעור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עונש המאסר לא היה צפוי</w:t>
      </w:r>
      <w:r>
        <w:rPr>
          <w:rtl w:val="true"/>
        </w:rPr>
        <w:t xml:space="preserve">, </w:t>
      </w:r>
      <w:r>
        <w:rPr>
          <w:rtl w:val="true"/>
        </w:rPr>
        <w:t>הנאשם התייצב בסדירות לדיונים וסיכויי הערעור טובים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 מתנגד לבקשה</w:t>
      </w:r>
      <w:r>
        <w:rPr>
          <w:rtl w:val="true"/>
        </w:rPr>
        <w:t xml:space="preserve">. </w:t>
      </w:r>
      <w:r>
        <w:rPr>
          <w:rtl w:val="true"/>
        </w:rPr>
        <w:t>לטענתו אין הנאשם עומד באמות המידה שנקבעו בפסיקה לעיכוב ביצוע ותקופת המאסר ארוכה דייה לשם שמיעת הערעור טרם ירוצה עיקר התקופה</w:t>
      </w:r>
      <w:r>
        <w:rPr>
          <w:rtl w:val="true"/>
        </w:rPr>
        <w:t xml:space="preserve">, </w:t>
      </w:r>
      <w:r>
        <w:rPr>
          <w:rtl w:val="true"/>
        </w:rPr>
        <w:t>בעיקר נוכח העובדה כי לא יהיה בתיק זה ערעור על עצם 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הכלל הוא כי ריצוי עונש מאסר יתחיל מיד עם מתן גזר הדין למעט מקרים חריגים שכאשר תקופת המאסר קצרה מאוד</w:t>
      </w:r>
      <w:r>
        <w:rPr>
          <w:rtl w:val="true"/>
        </w:rPr>
        <w:t xml:space="preserve">, </w:t>
      </w:r>
      <w:r>
        <w:rPr>
          <w:rtl w:val="true"/>
        </w:rPr>
        <w:t>או כאשר קיימות נסיבות אישיות מיוחדות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 זה אין מתקיים כל נתון שיש בו כדי להצדיק חריגה מן הכלל האמור</w:t>
      </w:r>
      <w:r>
        <w:rPr>
          <w:rtl w:val="true"/>
        </w:rPr>
        <w:t xml:space="preserve">. </w:t>
      </w:r>
      <w:r>
        <w:rPr>
          <w:rtl w:val="true"/>
        </w:rPr>
        <w:t>טענת הסנגור כי עונש המאסר היה לא צפוי</w:t>
      </w:r>
      <w:r>
        <w:rPr>
          <w:rtl w:val="true"/>
        </w:rPr>
        <w:t xml:space="preserve">, </w:t>
      </w:r>
      <w:r>
        <w:rPr>
          <w:rtl w:val="true"/>
        </w:rPr>
        <w:t>אין לה על מה שתסמוך</w:t>
      </w:r>
      <w:r>
        <w:rPr>
          <w:rtl w:val="true"/>
        </w:rPr>
        <w:t xml:space="preserve">. </w:t>
      </w:r>
      <w:r>
        <w:rPr>
          <w:rtl w:val="true"/>
        </w:rPr>
        <w:t>התביעה ביקשה בתיק זה</w:t>
      </w:r>
      <w:r>
        <w:rPr>
          <w:rtl w:val="true"/>
        </w:rPr>
        <w:t xml:space="preserve">, </w:t>
      </w:r>
      <w:r>
        <w:rPr>
          <w:rtl w:val="true"/>
        </w:rPr>
        <w:t>במסגרת 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לגזור על הנאשם עונש מאסר ראוי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רמת הענישה בפסיקה מוכרת לסנגור והאפשרות כי יוטל בתיק זה מאסר בפועל הייתה ידועה היטב וצפויה</w:t>
      </w:r>
      <w:r>
        <w:rPr>
          <w:rtl w:val="true"/>
        </w:rPr>
        <w:t xml:space="preserve">. </w:t>
      </w:r>
      <w:r>
        <w:rPr>
          <w:rtl w:val="true"/>
        </w:rPr>
        <w:t>לכל היותר</w:t>
      </w:r>
      <w:r>
        <w:rPr>
          <w:rtl w:val="true"/>
        </w:rPr>
        <w:t xml:space="preserve">, </w:t>
      </w:r>
      <w:r>
        <w:rPr>
          <w:rtl w:val="true"/>
        </w:rPr>
        <w:t>ניתן לומר כי משך המאסר לא היה צפוי ובכך אין כדי להצדיק עיכוב ביצוע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כל האמור לעיל</w:t>
      </w:r>
      <w:r>
        <w:rPr>
          <w:rtl w:val="true"/>
        </w:rPr>
        <w:t xml:space="preserve">, </w:t>
      </w:r>
      <w:r>
        <w:rPr>
          <w:rtl w:val="true"/>
        </w:rPr>
        <w:t>הבקשה נדחית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#10#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בסיון התשע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לילי יונג גפר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לילי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יונג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גפר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 xml:space="preserve">סגנית </w:t>
            </w: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 xml:space="preserve">נשיא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חגית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דהן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37177-10-10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אחמד דהאמשה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46"/>
        </w:tabs>
        <w:ind w:start="746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.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a.;144.b" TargetMode="External"/><Relationship Id="rId6" Type="http://schemas.openxmlformats.org/officeDocument/2006/relationships/hyperlink" Target="http://www.nevo.co.il/case/3577015" TargetMode="External"/><Relationship Id="rId7" Type="http://schemas.openxmlformats.org/officeDocument/2006/relationships/hyperlink" Target="http://www.nevo.co.il/case/5891605" TargetMode="External"/><Relationship Id="rId8" Type="http://schemas.openxmlformats.org/officeDocument/2006/relationships/hyperlink" Target="http://www.nevo.co.il/case/6000182" TargetMode="External"/><Relationship Id="rId9" Type="http://schemas.openxmlformats.org/officeDocument/2006/relationships/hyperlink" Target="http://www.nevo.co.il/case/4570766" TargetMode="External"/><Relationship Id="rId10" Type="http://schemas.openxmlformats.org/officeDocument/2006/relationships/hyperlink" Target="http://www.nevo.co.il/case/4364992" TargetMode="External"/><Relationship Id="rId11" Type="http://schemas.openxmlformats.org/officeDocument/2006/relationships/hyperlink" Target="http://www.nevo.co.il/case/5852404" TargetMode="External"/><Relationship Id="rId12" Type="http://schemas.openxmlformats.org/officeDocument/2006/relationships/hyperlink" Target="http://www.nevo.co.il/case/5023707" TargetMode="External"/><Relationship Id="rId13" Type="http://schemas.openxmlformats.org/officeDocument/2006/relationships/hyperlink" Target="http://www.nevo.co.il/case/2378964" TargetMode="External"/><Relationship Id="rId14" Type="http://schemas.openxmlformats.org/officeDocument/2006/relationships/hyperlink" Target="http://www.nevo.co.il/case/3577015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2016-06-06T19:19:00Z</dcterms:created>
  <dc:creator>סתיו צולר</dc:creator>
  <dc:description/>
  <cp:keywords/>
  <dc:language>en-IL</dc:language>
  <cp:lastModifiedBy>yafit</cp:lastModifiedBy>
  <dcterms:modified xsi:type="dcterms:W3CDTF">2016-06-06T19:19:00Z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אחמד דהאמשה</vt:lpwstr>
  </property>
  <property fmtid="{D5CDD505-2E9C-101B-9397-08002B2CF9AE}" pid="4" name="CASESLISTTMP1">
    <vt:lpwstr>3577015:2;5891605;6000182;4570766;4364992;5852404;5023707;2378964</vt:lpwstr>
  </property>
  <property fmtid="{D5CDD505-2E9C-101B-9397-08002B2CF9AE}" pid="5" name="CITY">
    <vt:lpwstr>נצ'</vt:lpwstr>
  </property>
  <property fmtid="{D5CDD505-2E9C-101B-9397-08002B2CF9AE}" pid="6" name="DATE">
    <vt:lpwstr>20110622</vt:lpwstr>
  </property>
  <property fmtid="{D5CDD505-2E9C-101B-9397-08002B2CF9AE}" pid="7" name="ISABSTRACT">
    <vt:lpwstr>Y</vt:lpwstr>
  </property>
  <property fmtid="{D5CDD505-2E9C-101B-9397-08002B2CF9AE}" pid="8" name="JUDGE">
    <vt:lpwstr>לילי יונג גפר</vt:lpwstr>
  </property>
  <property fmtid="{D5CDD505-2E9C-101B-9397-08002B2CF9AE}" pid="9" name="LAWLISTTMP1">
    <vt:lpwstr>70301/144.a;144.b</vt:lpwstr>
  </property>
  <property fmtid="{D5CDD505-2E9C-101B-9397-08002B2CF9AE}" pid="10" name="LAWYER">
    <vt:lpwstr>רועי אלפסי;ויסאם לידאוי</vt:lpwstr>
  </property>
  <property fmtid="{D5CDD505-2E9C-101B-9397-08002B2CF9AE}" pid="11" name="NEWPARTA">
    <vt:lpwstr>37177</vt:lpwstr>
  </property>
  <property fmtid="{D5CDD505-2E9C-101B-9397-08002B2CF9AE}" pid="12" name="NEWPARTB">
    <vt:lpwstr>10</vt:lpwstr>
  </property>
  <property fmtid="{D5CDD505-2E9C-101B-9397-08002B2CF9AE}" pid="13" name="NEWPARTC">
    <vt:lpwstr>10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380020110622</vt:lpwstr>
  </property>
  <property fmtid="{D5CDD505-2E9C-101B-9397-08002B2CF9AE}" pid="18" name="TYPE_N_DATE">
    <vt:lpwstr>38020110622</vt:lpwstr>
  </property>
  <property fmtid="{D5CDD505-2E9C-101B-9397-08002B2CF9AE}" pid="19" name="WORDNUMPAGES">
    <vt:lpwstr>8</vt:lpwstr>
  </property>
</Properties>
</file>