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37259-03-12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מלכה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זוהר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שוורץ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אריק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מלכה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>–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sz w:val="28"/>
                <w:szCs w:val="28"/>
                <w:rtl w:val="true"/>
              </w:rPr>
              <w:br/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איגור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יוטקין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153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81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81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9" w:name="ABSTRACT_END"/>
      <w:bookmarkEnd w:id="9"/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הצגת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הסדר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טיעון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וחזרה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ממנו</w:t>
      </w:r>
    </w:p>
    <w:p>
      <w:pPr>
        <w:pStyle w:val="Normal"/>
        <w:ind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21.3.12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17.3.12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התארח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02:45</w:t>
      </w:r>
      <w:r>
        <w:rPr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משנתנו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4.4.12</w:t>
      </w:r>
      <w:r>
        <w:rPr>
          <w:rtl w:val="true"/>
        </w:rPr>
        <w:t xml:space="preserve">, </w:t>
      </w:r>
      <w:r>
        <w:rPr/>
        <w:t>9.5.12</w:t>
      </w:r>
      <w:r>
        <w:rPr>
          <w:rtl w:val="true"/>
        </w:rPr>
        <w:t xml:space="preserve">, </w:t>
      </w:r>
      <w:r>
        <w:rPr/>
        <w:t>5.6.12</w:t>
      </w:r>
      <w:r>
        <w:rPr>
          <w:rtl w:val="true"/>
        </w:rPr>
        <w:t xml:space="preserve">, </w:t>
      </w:r>
      <w:r>
        <w:rPr/>
        <w:t>9.7.12</w:t>
      </w:r>
      <w:r>
        <w:rPr>
          <w:rtl w:val="true"/>
        </w:rPr>
        <w:t xml:space="preserve">, </w:t>
      </w:r>
      <w:r>
        <w:rPr/>
        <w:t>30.7.12</w:t>
      </w:r>
      <w:r>
        <w:rPr>
          <w:rtl w:val="true"/>
        </w:rPr>
        <w:t xml:space="preserve">, </w:t>
      </w:r>
      <w:r>
        <w:rPr/>
        <w:t>3.9.12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24.9.12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10.10.12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18.10.12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עמדתנו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2.9.12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23.10.12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7.11.12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22.11.12</w:t>
      </w:r>
      <w:r>
        <w:rPr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11.12.12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10.12.12</w:t>
      </w:r>
      <w:r>
        <w:rPr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11.12.12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ab/>
        <w:tab/>
        <w:tab/>
        <w:tab/>
        <w:t>"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25.12.12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24.12.12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מניפולטיביות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והתפקודית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25.12.12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8.1.13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25.12.12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>)."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3.1.13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tl w:val="true"/>
        </w:rPr>
        <w:t xml:space="preserve">,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8.1.13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23-18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11.12.12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14.1.13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התרופתי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</w:rPr>
        <w:t>15.1.13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התייצבה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התסקירים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רחל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פרידמן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קרסיק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52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15-14</w:t>
      </w:r>
      <w:r>
        <w:rPr>
          <w:rFonts w:cs="David"/>
          <w:rtl w:val="true"/>
        </w:rPr>
        <w:t xml:space="preserve">):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8-3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הנבחן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מתלה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בחירת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הנאשם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להשארת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הכרעת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הדין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בעינה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על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אף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החזרה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מההסדר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אעתר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27.1.13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בקשת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המאשימה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לתיקון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הכרעת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27.1.13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37281-03-12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28.3.12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tl w:val="true"/>
        </w:rPr>
        <w:t xml:space="preserve">,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מוצג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יוטקין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11.12.12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נית</w:t>
      </w:r>
      <w:r>
        <w:rPr>
          <w:rtl w:val="true"/>
        </w:rPr>
        <w:t>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27.1.13</w:t>
      </w:r>
      <w:r>
        <w:rPr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>
          <w:rtl w:val="true"/>
        </w:rPr>
        <w:t>הפוצע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11.12.12</w:t>
      </w:r>
      <w:r>
        <w:rPr>
          <w:rtl w:val="true"/>
        </w:rPr>
        <w:t xml:space="preserve">.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/>
        <w:t>335</w:t>
      </w:r>
      <w:r>
        <w:rPr>
          <w:rtl w:val="true"/>
        </w:rPr>
        <w:t>.(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334</w:t>
      </w:r>
      <w:r>
        <w:rPr>
          <w:b/>
          <w:bCs/>
          <w:rtl w:val="true"/>
        </w:rPr>
        <w:t xml:space="preserve">- </w:t>
      </w:r>
    </w:p>
    <w:p>
      <w:pPr>
        <w:pStyle w:val="Normal"/>
        <w:spacing w:lineRule="auto" w:line="360"/>
        <w:ind w:start="3600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כשעבריין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/>
        <w:t>81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נתינתם</w:t>
      </w:r>
      <w:r>
        <w:rPr>
          <w:rtl w:val="true"/>
        </w:rPr>
        <w:t xml:space="preserve">, </w:t>
      </w:r>
      <w:r>
        <w:rPr>
          <w:rtl w:val="true"/>
        </w:rPr>
        <w:t>לתקנם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מנומקת</w:t>
      </w:r>
      <w:r>
        <w:rPr>
          <w:rtl w:val="true"/>
        </w:rPr>
        <w:t xml:space="preserve">, </w:t>
      </w:r>
      <w:r>
        <w:rPr>
          <w:rtl w:val="true"/>
        </w:rPr>
        <w:t>ורשאי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–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tl w:val="true"/>
        </w:rPr>
        <w:t xml:space="preserve">,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קולמוס</w:t>
      </w:r>
      <w:r>
        <w:rPr>
          <w:rtl w:val="true"/>
        </w:rPr>
        <w:t xml:space="preserve">, </w:t>
      </w:r>
      <w:r>
        <w:rPr>
          <w:rtl w:val="true"/>
        </w:rPr>
        <w:t>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יראו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</w:t>
      </w:r>
      <w:r>
        <w:rPr>
          <w:rtl w:val="true"/>
        </w:rPr>
        <w:t>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11.12.12</w:t>
      </w:r>
      <w:r>
        <w:rPr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27.1.13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טיעוני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הצדדים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51"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במניפולטיביות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דיון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והכרעה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7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9424/05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9.10.05</w:t>
      </w:r>
      <w:r>
        <w:rPr>
          <w:rtl w:val="true"/>
        </w:rPr>
        <w:t xml:space="preserve">; </w:t>
      </w:r>
      <w:hyperlink r:id="rId6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6431/12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12.11.11</w:t>
      </w:r>
      <w:r>
        <w:rPr>
          <w:rtl w:val="true"/>
        </w:rPr>
        <w:t xml:space="preserve">;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25.9.07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עובדות</w:t>
      </w:r>
      <w:r>
        <w:rPr>
          <w:rtl w:val="true"/>
        </w:rPr>
        <w:t xml:space="preserve">"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 </w:t>
      </w:r>
      <w:hyperlink r:id="rId68">
        <w:r>
          <w:rPr>
            <w:rStyle w:val="Hyperlink"/>
            <w:color w:val="0000FF"/>
            <w:u w:val="single"/>
          </w:rPr>
          <w:t>153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</w:rPr>
          <w:t>154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נעיצת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תחתו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מניפולטיביות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וסדירה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י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915" w:start="2355" w:end="0"/>
        <w:jc w:val="both"/>
        <w:rPr/>
      </w:pPr>
      <w:r>
        <w:rPr/>
        <w:t>1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18.3.12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7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915" w:start="235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27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915" w:start="235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3000</w:t>
      </w:r>
      <w:r>
        <w:rPr>
          <w:rtl w:val="true"/>
        </w:rPr>
        <w:t xml:space="preserve"> ₪ 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ו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27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915" w:start="235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ו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37259-03-12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אריק מלכה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3600"/>
        </w:tabs>
        <w:ind w:start="360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2355"/>
        </w:tabs>
        <w:ind w:start="2355" w:hanging="915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4" TargetMode="External"/><Relationship Id="rId4" Type="http://schemas.openxmlformats.org/officeDocument/2006/relationships/hyperlink" Target="http://www.nevo.co.il/law/70301/40i.a.6" TargetMode="External"/><Relationship Id="rId5" Type="http://schemas.openxmlformats.org/officeDocument/2006/relationships/hyperlink" Target="http://www.nevo.co.il/law/70301/40i.b" TargetMode="External"/><Relationship Id="rId6" Type="http://schemas.openxmlformats.org/officeDocument/2006/relationships/hyperlink" Target="http://www.nevo.co.il/law/70301/300a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1553/5.2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152.a" TargetMode="External"/><Relationship Id="rId13" Type="http://schemas.openxmlformats.org/officeDocument/2006/relationships/hyperlink" Target="http://www.nevo.co.il/law/74903/153" TargetMode="External"/><Relationship Id="rId14" Type="http://schemas.openxmlformats.org/officeDocument/2006/relationships/hyperlink" Target="http://www.nevo.co.il/law/74903/153.a" TargetMode="External"/><Relationship Id="rId15" Type="http://schemas.openxmlformats.org/officeDocument/2006/relationships/hyperlink" Target="http://www.nevo.co.il/law/74903/154" TargetMode="External"/><Relationship Id="rId16" Type="http://schemas.openxmlformats.org/officeDocument/2006/relationships/hyperlink" Target="http://www.nevo.co.il/law/74849" TargetMode="External"/><Relationship Id="rId17" Type="http://schemas.openxmlformats.org/officeDocument/2006/relationships/hyperlink" Target="http://www.nevo.co.il/law/74849/81" TargetMode="External"/><Relationship Id="rId18" Type="http://schemas.openxmlformats.org/officeDocument/2006/relationships/hyperlink" Target="http://www.nevo.co.il/law/74849/81.d" TargetMode="External"/><Relationship Id="rId19" Type="http://schemas.openxmlformats.org/officeDocument/2006/relationships/hyperlink" Target="http://www.nevo.co.il/law/70301/33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1553/5.2" TargetMode="External"/><Relationship Id="rId28" Type="http://schemas.openxmlformats.org/officeDocument/2006/relationships/hyperlink" Target="http://www.nevo.co.il/law/71553" TargetMode="External"/><Relationship Id="rId29" Type="http://schemas.openxmlformats.org/officeDocument/2006/relationships/hyperlink" Target="http://www.nevo.co.il/law/74903/153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case/4960319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35.a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35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3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35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849/81" TargetMode="External"/><Relationship Id="rId43" Type="http://schemas.openxmlformats.org/officeDocument/2006/relationships/hyperlink" Target="http://www.nevo.co.il/law/74849" TargetMode="External"/><Relationship Id="rId44" Type="http://schemas.openxmlformats.org/officeDocument/2006/relationships/hyperlink" Target="http://www.nevo.co.il/law/70301/335.a.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4849/81.d" TargetMode="External"/><Relationship Id="rId47" Type="http://schemas.openxmlformats.org/officeDocument/2006/relationships/hyperlink" Target="http://www.nevo.co.il/law/74849" TargetMode="External"/><Relationship Id="rId48" Type="http://schemas.openxmlformats.org/officeDocument/2006/relationships/hyperlink" Target="http://www.nevo.co.il/law/70301/334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34" TargetMode="External"/><Relationship Id="rId51" Type="http://schemas.openxmlformats.org/officeDocument/2006/relationships/hyperlink" Target="http://www.nevo.co.il/law/70301/335.a.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34" TargetMode="External"/><Relationship Id="rId54" Type="http://schemas.openxmlformats.org/officeDocument/2006/relationships/hyperlink" Target="http://www.nevo.co.il/law/70301/335.a.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34" TargetMode="External"/><Relationship Id="rId57" Type="http://schemas.openxmlformats.org/officeDocument/2006/relationships/hyperlink" Target="http://www.nevo.co.il/law/70301/335.a.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6132900" TargetMode="External"/><Relationship Id="rId60" Type="http://schemas.openxmlformats.org/officeDocument/2006/relationships/hyperlink" Target="http://www.nevo.co.il/case/5589559" TargetMode="External"/><Relationship Id="rId61" Type="http://schemas.openxmlformats.org/officeDocument/2006/relationships/hyperlink" Target="http://www.nevo.co.il/case/5954809" TargetMode="External"/><Relationship Id="rId62" Type="http://schemas.openxmlformats.org/officeDocument/2006/relationships/hyperlink" Target="http://www.nevo.co.il/law/70301/334" TargetMode="External"/><Relationship Id="rId63" Type="http://schemas.openxmlformats.org/officeDocument/2006/relationships/hyperlink" Target="http://www.nevo.co.il/law/70301/335.a.1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34" TargetMode="External"/><Relationship Id="rId66" Type="http://schemas.openxmlformats.org/officeDocument/2006/relationships/hyperlink" Target="http://www.nevo.co.il/law/70301/335.a.1" TargetMode="External"/><Relationship Id="rId67" Type="http://schemas.openxmlformats.org/officeDocument/2006/relationships/hyperlink" Target="http://www.nevo.co.il/law/74903/152.a" TargetMode="External"/><Relationship Id="rId68" Type="http://schemas.openxmlformats.org/officeDocument/2006/relationships/hyperlink" Target="http://www.nevo.co.il/law/74903/153.a" TargetMode="External"/><Relationship Id="rId69" Type="http://schemas.openxmlformats.org/officeDocument/2006/relationships/hyperlink" Target="http://www.nevo.co.il/law/74903/154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law/70301/40i.a.4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i.a.6" TargetMode="External"/><Relationship Id="rId74" Type="http://schemas.openxmlformats.org/officeDocument/2006/relationships/hyperlink" Target="http://www.nevo.co.il/law/70301/40i.a.6" TargetMode="External"/><Relationship Id="rId75" Type="http://schemas.openxmlformats.org/officeDocument/2006/relationships/hyperlink" Target="http://www.nevo.co.il/law/70301/40i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00a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2016-02-23T09:06:00Z</dcterms:created>
  <dc:creator> </dc:creator>
  <dc:description/>
  <cp:keywords/>
  <dc:language>en-IL</dc:language>
  <cp:lastModifiedBy>hofit</cp:lastModifiedBy>
  <dcterms:modified xsi:type="dcterms:W3CDTF">2016-02-23T09:06:00Z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אריק מלכה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4960319;6132900;5589559;5954809</vt:lpwstr>
  </property>
  <property fmtid="{D5CDD505-2E9C-101B-9397-08002B2CF9AE}" pid="9" name="CITY">
    <vt:lpwstr>רמ'</vt:lpwstr>
  </property>
  <property fmtid="{D5CDD505-2E9C-101B-9397-08002B2CF9AE}" pid="10" name="DATE">
    <vt:lpwstr>20130206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70301/334:10;335.a.1:11;040i.a.4;040i.a.6:2;040i.b;300a</vt:lpwstr>
  </property>
  <property fmtid="{D5CDD505-2E9C-101B-9397-08002B2CF9AE}" pid="15" name="LAWLISTTMP2">
    <vt:lpwstr>71553/005.2</vt:lpwstr>
  </property>
  <property fmtid="{D5CDD505-2E9C-101B-9397-08002B2CF9AE}" pid="16" name="LAWLISTTMP3">
    <vt:lpwstr>74903/153;152.a;153.a;154</vt:lpwstr>
  </property>
  <property fmtid="{D5CDD505-2E9C-101B-9397-08002B2CF9AE}" pid="17" name="LAWLISTTMP4">
    <vt:lpwstr>74849/081;081.d</vt:lpwstr>
  </property>
  <property fmtid="{D5CDD505-2E9C-101B-9397-08002B2CF9AE}" pid="18" name="LAWYER">
    <vt:lpwstr>זוהר שקורי שוורץ;איגור יוטקין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37259</vt:lpwstr>
  </property>
  <property fmtid="{D5CDD505-2E9C-101B-9397-08002B2CF9AE}" pid="25" name="NEWPARTB">
    <vt:lpwstr>03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380020130206</vt:lpwstr>
  </property>
  <property fmtid="{D5CDD505-2E9C-101B-9397-08002B2CF9AE}" pid="37" name="TYPE_N_DATE">
    <vt:lpwstr>38020130206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