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37282-10-20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עוזירי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דרור קלייטמן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שטרית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לשכת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תביעות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פתח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תקווה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מתן עוזירי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480" w:before="0" w:after="1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רקע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bookmarkStart w:id="8" w:name="ABSTRACT_START"/>
      <w:bookmarkEnd w:id="8"/>
      <w:r>
        <w:rPr>
          <w:rFonts w:ascii="David" w:hAnsi="David" w:eastAsia="Calibri"/>
          <w:rtl w:val="true"/>
        </w:rPr>
        <w:t>הנאשם הורשע על יסוד הודאתו בעובדות כתב אישום מתוקן בתיק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ובכתב אישום ב</w:t>
      </w:r>
      <w:hyperlink r:id="rId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37054-10-20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בביצוע עבירות של החזקת סם שלא לצריכה עצמית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עבירות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בהתאם </w:t>
      </w:r>
      <w:hyperlink r:id="rId9">
        <w:r>
          <w:rPr>
            <w:rStyle w:val="Hyperlink"/>
            <w:rFonts w:ascii="David" w:hAnsi="David" w:eastAsia="Calibri"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</w:rPr>
          <w:t>7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)+</w:t>
        </w:r>
        <w:r>
          <w:rPr>
            <w:rStyle w:val="Hyperlink"/>
            <w:rFonts w:eastAsia="Calibri" w:cs="David" w:ascii="David" w:hAnsi="David"/>
          </w:rPr>
          <w:t>7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ג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ל</w:t>
      </w:r>
      <w:hyperlink r:id="rId1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נוסח חדש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ג 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והחזקת תחמושת בהתאם </w:t>
      </w:r>
      <w:hyperlink r:id="rId11">
        <w:r>
          <w:rPr>
            <w:rStyle w:val="Hyperlink"/>
            <w:rFonts w:ascii="David" w:hAnsi="David" w:eastAsia="Calibri"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סיפא ל</w:t>
      </w:r>
      <w:hyperlink r:id="rId1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.   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bookmarkStart w:id="9" w:name="ABSTRACT_END"/>
      <w:bookmarkEnd w:id="9"/>
      <w:r>
        <w:rPr>
          <w:rFonts w:ascii="David" w:hAnsi="David" w:eastAsia="Calibri"/>
          <w:rtl w:val="true"/>
        </w:rPr>
        <w:t>על פי עובדות כתב האישום המתוקן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12.1.20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11:30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 בסמוך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החזיק הנאשם בביתו סם מסוכן מסוג קנאביס שהונח על שולחן בסלון הבית במשקל </w:t>
      </w:r>
      <w:r>
        <w:rPr>
          <w:rFonts w:eastAsia="Calibri" w:cs="David" w:ascii="David" w:hAnsi="David"/>
        </w:rPr>
        <w:t>101.81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גרם נטו וסם מסוכן מסוג קנאביס שהוחזק בארון המטבח בבית במשקל </w:t>
      </w:r>
      <w:r>
        <w:rPr>
          <w:rFonts w:eastAsia="Calibri" w:cs="David" w:ascii="David" w:hAnsi="David"/>
        </w:rPr>
        <w:t>17.25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 נטו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האמור ובנסיבות המתוארות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החזיק הנאשם באחד מחדרי הבית אביזר נשק בדמות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מחסניות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בתוך אחת מהן  קליעים בקוטר </w:t>
      </w:r>
      <w:r>
        <w:rPr>
          <w:rFonts w:eastAsia="Calibri" w:cs="David" w:ascii="David" w:hAnsi="David"/>
        </w:rPr>
        <w:t>5.56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בהתאם לעובדות כתב האישום בתיק המצורף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23.3.20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15:15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הגיעו שוטרים לדירת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באותן הנסיבות החזיק הנאשם בדירה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השולחן בסלון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סם מסוכן מסוג קנאביס בתוך צנצנת במשקל </w:t>
      </w:r>
      <w:r>
        <w:rPr>
          <w:rFonts w:eastAsia="Calibri" w:cs="David" w:ascii="David" w:hAnsi="David"/>
        </w:rPr>
        <w:t>14.01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 נטו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במטבח בארון תחתון סם מסוכן מסוג קנאביס בתוך צנצנת במסקל </w:t>
      </w:r>
      <w:r>
        <w:rPr>
          <w:rFonts w:eastAsia="Calibri" w:cs="David" w:ascii="David" w:hAnsi="David"/>
        </w:rPr>
        <w:t>115.92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 נטו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במסגרת הסדר הטיעון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הופנה הנאשם לבקשת ההגנה לעריכת תסקיר שירות המבחן בעניינו ואילו המאשימה הצהירה כי עמדתה למאסר בדרך של עבודות שירות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480" w:before="0" w:after="1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 xml:space="preserve">תסקיר שירות המבחן 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בתסקיר שהוגש מתאריך </w:t>
      </w:r>
      <w:r>
        <w:rPr>
          <w:rFonts w:eastAsia="Calibri" w:cs="David" w:ascii="David" w:hAnsi="David"/>
        </w:rPr>
        <w:t>6.7.22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מתואר כי הנאשם כבן </w:t>
      </w:r>
      <w:r>
        <w:rPr>
          <w:rFonts w:eastAsia="Calibri" w:cs="David" w:ascii="David" w:hAnsi="David"/>
        </w:rPr>
        <w:t>32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רווק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עובד בתחום שיווק דיגיטלי כעצמאי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סובל מבעיה רפואית מולדת ולו רישיון לשימוש בקנאביס רפואי אשר תוקפו פג בתאריך </w:t>
      </w:r>
      <w:r>
        <w:rPr>
          <w:rFonts w:eastAsia="Calibri" w:cs="David" w:ascii="David" w:hAnsi="David"/>
        </w:rPr>
        <w:t>18.12.21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מגיליון רישומו הפלילי עולה כי למעט העבירות נשוא תיקים אלו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פתוחים נגדו תיקים נוספים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כמו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לקח אחריות על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 שלל נזקקות טיפולית במצבו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עמדה זו לא נוצר בפני שירות המבחן פתח להתערבות והם לא באו בהמלצה טיפולית בעניינו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480" w:before="0" w:after="1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 xml:space="preserve">הראיות לעונש וטיעוני הצדדים 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ד קרין שטרית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הצביעה על הערכים המוגנים שנפגעו כתוצאה ממעשיו של הנאשם ועתרה למתחם ענישה הנע בין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ציינה כי לחובת הנאשם הרשעה משנת </w:t>
      </w:r>
      <w:r>
        <w:rPr>
          <w:rFonts w:eastAsia="Calibri" w:cs="David" w:ascii="David" w:hAnsi="David"/>
        </w:rPr>
        <w:t>2013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בגין עבירות אלימות ורכוש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הפנתה לאמור בתסקיר וטענה כי הנאשם שלל נזקקות טיפולית מאחר וסבור שאינו מאופיין בדפוסים עבריינים או התמכרותיים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בסיכומו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עתרה 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בדרך של עבודות שירות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מאסר על תנאי וקנס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מנגד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ד אמיר ברכה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טען כי המאשימה התבססה על פסיקה שאינה רלוונטית בנסיבותיה לענייננו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ציין כי הנאשם סובל מבעיה רפואית בגינה נשא רישיון לשימוש בקנאביס רפואי ולאחר פגישה שערך עם קצינת המבחן פעל לחדש את הרישיון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אדם נורמטיבי כך שעונש מאסר בדרך של עבודות שירות עלול לפגוע בתפקודו בפן התעסוקתי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לבסוף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מבית המשפט להסתפק בענישה בדמות מאסר מותנה והתחייבות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ניצל את זכות המילה האחרונה טרם גזירת עונשו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באומרו</w:t>
      </w:r>
      <w:r>
        <w:rPr>
          <w:rFonts w:eastAsia="Calibri" w:cs="David" w:ascii="David" w:hAnsi="David"/>
          <w:rtl w:val="true"/>
        </w:rPr>
        <w:t xml:space="preserve">: " </w:t>
      </w:r>
      <w:r>
        <w:rPr>
          <w:rFonts w:ascii="David" w:hAnsi="David" w:eastAsia="Calibri"/>
          <w:i/>
          <w:i/>
          <w:iCs/>
          <w:rtl w:val="true"/>
        </w:rPr>
        <w:t>אני סובל מבעיה</w:t>
      </w:r>
      <w:r>
        <w:rPr>
          <w:rFonts w:eastAsia="Calibri" w:cs="David" w:ascii="David" w:hAnsi="David"/>
          <w:i/>
          <w:iCs/>
          <w:rtl w:val="true"/>
        </w:rPr>
        <w:t xml:space="preserve">, </w:t>
      </w:r>
      <w:r>
        <w:rPr>
          <w:rFonts w:ascii="David" w:hAnsi="David" w:eastAsia="Calibri"/>
          <w:i/>
          <w:i/>
          <w:iCs/>
          <w:rtl w:val="true"/>
        </w:rPr>
        <w:t>שתי עצמות מחוברות משהו שמקשה עלי בפעולות יומיומיות</w:t>
      </w:r>
      <w:r>
        <w:rPr>
          <w:rFonts w:eastAsia="Calibri" w:cs="David" w:ascii="David" w:hAnsi="David"/>
          <w:i/>
          <w:iCs/>
          <w:rtl w:val="true"/>
        </w:rPr>
        <w:t xml:space="preserve">, </w:t>
      </w:r>
      <w:r>
        <w:rPr>
          <w:rFonts w:ascii="David" w:hAnsi="David" w:eastAsia="Calibri"/>
          <w:i/>
          <w:i/>
          <w:iCs/>
          <w:rtl w:val="true"/>
        </w:rPr>
        <w:t>גורם לכאבים סטטיים</w:t>
      </w:r>
      <w:r>
        <w:rPr>
          <w:rFonts w:eastAsia="Calibri" w:cs="David" w:ascii="David" w:hAnsi="David"/>
          <w:i/>
          <w:iCs/>
          <w:rtl w:val="true"/>
        </w:rPr>
        <w:t xml:space="preserve">. </w:t>
      </w:r>
      <w:r>
        <w:rPr>
          <w:rFonts w:ascii="David" w:hAnsi="David" w:eastAsia="Calibri"/>
          <w:i/>
          <w:i/>
          <w:iCs/>
          <w:rtl w:val="true"/>
        </w:rPr>
        <w:t>זו לא הייתה אופציה בתקופה ההיא לא ידעתי שזה כזה חמור היו דיבורים בטלוויזיה שזה כמעט חוקי אנשים סביבי כל היום היה את הריח בחדר מדרגות זה היה נראה מאוד חוקי</w:t>
      </w:r>
      <w:r>
        <w:rPr>
          <w:rFonts w:eastAsia="Calibri" w:cs="David" w:ascii="David" w:hAnsi="David"/>
          <w:i/>
          <w:iCs/>
          <w:rtl w:val="true"/>
        </w:rPr>
        <w:t xml:space="preserve">. </w:t>
      </w:r>
      <w:r>
        <w:rPr>
          <w:rFonts w:ascii="David" w:hAnsi="David" w:eastAsia="Calibri"/>
          <w:i/>
          <w:i/>
          <w:iCs/>
          <w:rtl w:val="true"/>
        </w:rPr>
        <w:t>הבעיה שלי לא צחוק אני סובל מתסמונת נדירה בשם רוס סינדרום ואני לא מאחל אותה לאף אחד</w:t>
      </w:r>
      <w:r>
        <w:rPr>
          <w:rFonts w:eastAsia="Calibri" w:cs="David" w:ascii="David" w:hAnsi="David"/>
          <w:i/>
          <w:iCs/>
          <w:rtl w:val="true"/>
        </w:rPr>
        <w:t xml:space="preserve">. </w:t>
      </w:r>
      <w:r>
        <w:rPr>
          <w:rFonts w:ascii="David" w:hAnsi="David" w:eastAsia="Calibri"/>
          <w:i/>
          <w:i/>
          <w:iCs/>
          <w:rtl w:val="true"/>
        </w:rPr>
        <w:t xml:space="preserve">הגעתי לזה ממצוקה הייתי נגד סמים עד גיל </w:t>
      </w:r>
      <w:r>
        <w:rPr>
          <w:rFonts w:eastAsia="Calibri" w:cs="David" w:ascii="David" w:hAnsi="David"/>
          <w:i/>
          <w:iCs/>
        </w:rPr>
        <w:t>26</w:t>
      </w:r>
      <w:r>
        <w:rPr>
          <w:rFonts w:eastAsia="Calibri" w:cs="David" w:ascii="David" w:hAnsi="David"/>
          <w:i/>
          <w:iCs/>
          <w:rtl w:val="true"/>
        </w:rPr>
        <w:t xml:space="preserve"> </w:t>
      </w:r>
      <w:r>
        <w:rPr>
          <w:rFonts w:ascii="David" w:hAnsi="David" w:eastAsia="Calibri"/>
          <w:i/>
          <w:i/>
          <w:iCs/>
          <w:rtl w:val="true"/>
        </w:rPr>
        <w:t>לא לקחתי אפילו שכטה קטנה</w:t>
      </w:r>
      <w:r>
        <w:rPr>
          <w:rFonts w:eastAsia="Calibri" w:cs="David" w:ascii="David" w:hAnsi="David"/>
          <w:i/>
          <w:iCs/>
          <w:rtl w:val="true"/>
        </w:rPr>
        <w:t xml:space="preserve">. </w:t>
      </w:r>
      <w:r>
        <w:rPr>
          <w:rFonts w:ascii="David" w:hAnsi="David" w:eastAsia="Calibri"/>
          <w:i/>
          <w:i/>
          <w:iCs/>
          <w:rtl w:val="true"/>
        </w:rPr>
        <w:t>יש לי חברה לשירות דיגיטלי</w:t>
      </w:r>
      <w:r>
        <w:rPr>
          <w:rFonts w:eastAsia="Calibri" w:cs="David" w:ascii="David" w:hAnsi="David"/>
          <w:i/>
          <w:iCs/>
          <w:rtl w:val="true"/>
        </w:rPr>
        <w:t xml:space="preserve">, </w:t>
      </w:r>
      <w:r>
        <w:rPr>
          <w:rFonts w:ascii="David" w:hAnsi="David" w:eastAsia="Calibri"/>
          <w:i/>
          <w:i/>
          <w:iCs/>
          <w:rtl w:val="true"/>
        </w:rPr>
        <w:t xml:space="preserve">יש לי שותף שאנחנו עובדים יחד </w:t>
      </w:r>
      <w:r>
        <w:rPr>
          <w:rFonts w:eastAsia="Calibri" w:cs="David" w:ascii="David" w:hAnsi="David"/>
          <w:i/>
          <w:iCs/>
        </w:rPr>
        <w:t>30</w:t>
      </w:r>
      <w:r>
        <w:rPr>
          <w:rFonts w:eastAsia="Calibri" w:cs="David" w:ascii="David" w:hAnsi="David"/>
          <w:i/>
          <w:iCs/>
          <w:rtl w:val="true"/>
        </w:rPr>
        <w:t xml:space="preserve"> </w:t>
      </w:r>
      <w:r>
        <w:rPr>
          <w:rFonts w:ascii="David" w:hAnsi="David" w:eastAsia="Calibri"/>
          <w:i/>
          <w:i/>
          <w:iCs/>
          <w:rtl w:val="true"/>
        </w:rPr>
        <w:t>שנה</w:t>
      </w:r>
      <w:r>
        <w:rPr>
          <w:rFonts w:eastAsia="Calibri" w:cs="David" w:ascii="David" w:hAnsi="David"/>
          <w:i/>
          <w:iCs/>
          <w:rtl w:val="true"/>
        </w:rPr>
        <w:t xml:space="preserve">. </w:t>
      </w:r>
      <w:r>
        <w:rPr>
          <w:rFonts w:ascii="David" w:hAnsi="David" w:eastAsia="Calibri"/>
          <w:i/>
          <w:i/>
          <w:iCs/>
          <w:rtl w:val="true"/>
        </w:rPr>
        <w:t>אני לא יודע איך הגעתי למצב הזה</w:t>
      </w:r>
      <w:r>
        <w:rPr>
          <w:rFonts w:eastAsia="Calibri" w:cs="David" w:ascii="David" w:hAnsi="David"/>
          <w:i/>
          <w:iCs/>
          <w:rtl w:val="true"/>
        </w:rPr>
        <w:t xml:space="preserve">. </w:t>
      </w:r>
      <w:r>
        <w:rPr>
          <w:rFonts w:ascii="David" w:hAnsi="David" w:eastAsia="Calibri"/>
          <w:i/>
          <w:i/>
          <w:iCs/>
          <w:rtl w:val="true"/>
        </w:rPr>
        <w:t>סיימתי שירות צבאי בכבוד</w:t>
      </w:r>
      <w:r>
        <w:rPr>
          <w:rFonts w:eastAsia="Calibri" w:cs="David" w:ascii="David" w:hAnsi="David"/>
          <w:i/>
          <w:iCs/>
          <w:rtl w:val="true"/>
        </w:rPr>
        <w:t xml:space="preserve">, </w:t>
      </w:r>
      <w:r>
        <w:rPr>
          <w:rFonts w:ascii="David" w:hAnsi="David" w:eastAsia="Calibri"/>
          <w:i/>
          <w:i/>
          <w:iCs/>
          <w:rtl w:val="true"/>
        </w:rPr>
        <w:t>הייתי מפקד בית ספר למחשבים</w:t>
      </w:r>
      <w:r>
        <w:rPr>
          <w:rFonts w:eastAsia="Calibri" w:cs="David" w:ascii="David" w:hAnsi="David"/>
          <w:i/>
          <w:iCs/>
          <w:rtl w:val="true"/>
        </w:rPr>
        <w:t xml:space="preserve">. </w:t>
      </w:r>
      <w:r>
        <w:rPr>
          <w:rFonts w:ascii="David" w:hAnsi="David" w:eastAsia="Calibri"/>
          <w:i/>
          <w:i/>
          <w:iCs/>
          <w:rtl w:val="true"/>
        </w:rPr>
        <w:t>לא מתאים לי כל הסיפור הזה אני מבטיח שלא אגיע לכאן</w:t>
      </w:r>
      <w:r>
        <w:rPr>
          <w:rFonts w:eastAsia="Calibri" w:cs="David" w:ascii="David" w:hAnsi="David"/>
          <w:rtl w:val="true"/>
        </w:rPr>
        <w:t>".</w:t>
      </w:r>
    </w:p>
    <w:p>
      <w:pPr>
        <w:pStyle w:val="Normal"/>
        <w:spacing w:lineRule="auto" w:line="480" w:before="0" w:after="1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 xml:space="preserve">חוות דעת הממונה על עבודות השירות    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לאחר שעיינתי בטיעוני הצדדים לעונש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הגעתי למסקנה כי יש צורך בקבלת חוות דעת מטעם הממונה על עבודות השירות באשר לכשירותו של הנאשם לביצוע עבודות שירות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27.2.23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התקבלה חוות דעת ולפיה הנאשם כשיר לביצוע עבודות שירות במגבלות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480" w:before="0" w:after="1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480" w:before="0" w:after="160"/>
        <w:ind w:end="0"/>
        <w:jc w:val="both"/>
        <w:rPr/>
      </w:pPr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Calibri"/>
          <w:u w:val="single"/>
          <w:rtl w:val="true"/>
        </w:rPr>
        <w:t>מתחם העונש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הערכים המוגנים שנפגעו כתוצאה מהעבירות אותן ביצע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הינם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שמירה על הציבור מפני הנזקים הנגרמים לבריאות ולסדר החברתי כתוצאה משימוש בסמים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וכן שמירה על הציבור מפני הפוטנציאל לנזק לחיי אדם הקיים כתוצאה מהחזקת אביזרי נשק שלא תחת רישיון ופיקוח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בכלל הנסיבות הקשורות לביצוע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באשר לעבירות הסמים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התחשבתי בכך שנתפסו אצל הנאשם סמים מסוג קנאביס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במשקל כולל של קרוב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גרם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באשר לסיבות אשר הביאו אותו לביצוע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אוכל להתחשב בטענתו שסבר כי החזקת הסם הפכה 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דבר לא כזה חמור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וזאת מאחר ובכתב האישום המצורף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מתוארים סמים שנתפסו אצלו בבית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כחודשיים לאחר שכבר נתפסו אצלו סמים בפעם הראשונה ולאחר שנחקר על כך במשטרה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בנוגע להחזקת המחסניות והקליעים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אתן משקל לנסיבות אותן תיאר ולא נסתרו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מדובר במחסניות שנותרו אצלו מהשירות הצבאי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באשר למדיניות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שהפסיקה שהוצגה על ידי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בנוגע לעבירות החזקת התחמושת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עוסקת בנסיבות מחמירות מאלו שבעניין שבפניי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הן באשר לכמות וסוג התחמושת והן נסיבות ההחזקה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באשר לעביר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ת הסמים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שבשל הכמות שנתפסה ובעיקר העובדה שמדובר בשני אירועים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השני הוא זמן לא ארוך לאחר שכמות סמים דומה נתפסה ברשותו והנאשם נחקר עליה במשטרה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שהרף התחתון של מתחם הענישה צריך לעמוד על ענישה ממשית ולא ניתן להסתפק בענישה צופה פני עתיד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למרות שמדובר בשני אירועים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שלנוכח הרקע והנסיבות הדומות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גם הסמיכות בזמן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אקבע מתחם ענישה אחד לכלל כתב האישום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b/>
          <w:b/>
          <w:bCs/>
          <w:rtl w:val="true"/>
        </w:rPr>
        <w:t>לנוכח האמור לעיל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אני קובע כי מתחם הענישה נע בין מאסר קצר שיכול וירוצה בדרך של עבודות שירות ועד לשנת מאסר בפועל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480" w:before="0" w:after="1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Calibri"/>
          <w:u w:val="single"/>
          <w:rtl w:val="true"/>
        </w:rPr>
        <w:t>גזירת העונש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rtl w:val="true"/>
        </w:rPr>
        <w:t>בכלל הנסיבות שאינן קשורות לביצוע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שקלתי את הודאת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נטילת אחריות וחיסכון בזמן שיפוטי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התחשבתי אף במצבו הרפואי ובכך שבסופו של דבר מצבו זה הביא לכך שלנאשם הונפק רישיון לצריכת סם מסוג קנאביס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כך גם בעובדה שלא נפתחו נגדו תיקים נוספים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מנגד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שקלתי את העובדה שלנאשם הרשעה קודמת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בעניינו של הנאשם התקבל תסקיר ממנו עולה כי שירות המבחן סבור כי קיים סיכון להישנות מעורבותו של הנאשם בעבירות דומות בעתיד וכי ישנם צרכים טיפוליים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 הנאשם שלל צורך זה ולכן שירות המבחן לא בא בהמלצה טיפולית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שיקומית בעניינו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עוד ניתן ללמוד מהתסקיר כי הנאשם לא הפיק לקח מההליך הפלילי וגם בעת עריכת התסקיר דיווח על צריכת סמים מסוג קנאביס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למרות שרישיונו לשימוש בסמים אלו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פג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מצב דברים זה אינו מאפשר סטייה ממתחם הענישה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לנוכח הנזק הכספי שייגרם לנאשם כתוצאה מעונש המאסר בעבודות שירות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אגזור עליו בנוסף קנס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b/>
          <w:b/>
          <w:bCs/>
          <w:rtl w:val="true"/>
        </w:rPr>
        <w:t>אשר על כן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אני גוזר על הנאשם את העונשים הבאים</w:t>
      </w:r>
      <w:r>
        <w:rPr>
          <w:rFonts w:eastAsia="Calibri" w:cs="David" w:ascii="David" w:hAnsi="David"/>
          <w:b/>
          <w:bCs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480" w:before="0" w:after="160"/>
        <w:ind w:hanging="360" w:start="108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שלושה חודשי מאסר בפועל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שירוצו בדרך של עבודות שירות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480" w:before="0" w:after="160"/>
        <w:ind w:hanging="360" w:start="108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שלושה חודשי מאסר על תנאי למשך שנתיים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 xml:space="preserve">התנאי יופעל במידה והנאשם יעבור עבירה על פי פקודת הסמים או על פי </w:t>
      </w:r>
      <w:hyperlink r:id="rId13">
        <w:r>
          <w:rPr>
            <w:rStyle w:val="Hyperlink"/>
            <w:rFonts w:ascii="David" w:hAnsi="David" w:eastAsia="Calibri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b/>
            <w:bCs/>
          </w:rPr>
          <w:t>144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</w:t>
      </w:r>
      <w:hyperlink r:id="rId14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480" w:before="0" w:after="160"/>
        <w:ind w:hanging="360" w:start="108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 xml:space="preserve">התחייבות כספית על סך </w:t>
      </w:r>
      <w:r>
        <w:rPr>
          <w:rFonts w:eastAsia="Calibri" w:cs="David" w:ascii="David" w:hAnsi="David"/>
          <w:b/>
          <w:bCs/>
        </w:rPr>
        <w:t>1,000</w:t>
      </w:r>
      <w:r>
        <w:rPr>
          <w:rFonts w:eastAsia="Calibri" w:cs="David" w:ascii="David" w:hAnsi="David"/>
          <w:b/>
          <w:bCs/>
          <w:rtl w:val="true"/>
        </w:rPr>
        <w:t xml:space="preserve"> ₪ </w:t>
      </w:r>
      <w:r>
        <w:rPr>
          <w:rFonts w:ascii="David" w:hAnsi="David" w:eastAsia="Calibri"/>
          <w:b/>
          <w:b/>
          <w:bCs/>
          <w:rtl w:val="true"/>
        </w:rPr>
        <w:t>למשך שנתיים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 xml:space="preserve">ההתחייבות תופעל במידה והנאשם יעבור עבירה על פי פקודת הסמים או על פי </w:t>
      </w:r>
      <w:hyperlink r:id="rId15">
        <w:r>
          <w:rPr>
            <w:rStyle w:val="Hyperlink"/>
            <w:rFonts w:ascii="David" w:hAnsi="David" w:eastAsia="Calibri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b/>
            <w:bCs/>
          </w:rPr>
          <w:t>144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</w:t>
      </w:r>
      <w:hyperlink r:id="rId16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480" w:before="0" w:after="160"/>
        <w:ind w:start="720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צו כללי למוצגים ולהשמדת הסמים</w:t>
      </w:r>
      <w:r>
        <w:rPr>
          <w:rFonts w:eastAsia="Calibri" w:cs="David" w:ascii="David" w:hAnsi="David"/>
          <w:u w:val="single"/>
          <w:rtl w:val="true"/>
        </w:rPr>
        <w:t>.</w:t>
      </w:r>
    </w:p>
    <w:p>
      <w:pPr>
        <w:pStyle w:val="Normal"/>
        <w:spacing w:lineRule="auto" w:line="480" w:before="0" w:after="160"/>
        <w:ind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טלפון שנתפס מידיו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יושב לו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480" w:before="0" w:after="1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 xml:space="preserve">הנאשם יתייצב לריצוי עונש עבודות השירות בתאריך </w:t>
      </w:r>
      <w:r>
        <w:rPr>
          <w:rFonts w:eastAsia="Calibri" w:cs="David" w:ascii="David" w:hAnsi="David"/>
          <w:b/>
          <w:bCs/>
        </w:rPr>
        <w:t>11.5.23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בשעה </w:t>
      </w:r>
      <w:r>
        <w:rPr>
          <w:rFonts w:eastAsia="Calibri" w:cs="David" w:ascii="David" w:hAnsi="David"/>
          <w:b/>
          <w:bCs/>
        </w:rPr>
        <w:t>8:00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ביחידת עבודות השירות מחוז מרכז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480" w:before="0" w:after="1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מובהר לנאשם כי באם לא יעמוד בתנאי וכללי הממונה על עבודות השירות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ניתן יהיה להפסיק את ריצוי העונש בדרך זו והמרתו בעונש מאסר מאחורי סורג ובריח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480" w:before="0" w:after="160"/>
        <w:ind w:start="72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480" w:before="0" w:after="160"/>
        <w:ind w:start="720" w:end="0"/>
        <w:jc w:val="center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 xml:space="preserve">זכות ערעור לבית המשפט המחוזי בתוך </w:t>
      </w:r>
      <w:r>
        <w:rPr>
          <w:rFonts w:eastAsia="Calibri" w:cs="David" w:ascii="David" w:hAnsi="David"/>
          <w:u w:val="single"/>
        </w:rPr>
        <w:t>45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ימים</w:t>
      </w:r>
    </w:p>
    <w:p>
      <w:pPr>
        <w:pStyle w:val="Normal"/>
        <w:ind w:end="0"/>
        <w:jc w:val="start"/>
        <w:rPr>
          <w:rFonts w:ascii="Arial" w:hAnsi="Arial" w:eastAsia="Calibri" w:cs="Arial"/>
          <w:b/>
          <w:bCs/>
          <w:sz w:val="26"/>
          <w:szCs w:val="26"/>
          <w:u w:val="single"/>
        </w:rPr>
      </w:pPr>
      <w:r>
        <w:rPr>
          <w:rFonts w:eastAsia="Calibri"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אדר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המאשימה עו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ד אשרת קראוזר </w:t>
      </w:r>
      <w:bookmarkEnd w:id="10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ועו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לילך קוטנר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הנאשם וב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עו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אמיר ברכה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דרור קלייטמן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37282-10-20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מתן עוזירי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 w:val="false"/>
        <w:bCs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2z0">
    <w:name w:val="WW8Num2z0"/>
    <w:qFormat/>
    <w:rPr>
      <w:b w:val="false"/>
      <w:bCs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case/27084141" TargetMode="External"/><Relationship Id="rId9" Type="http://schemas.openxmlformats.org/officeDocument/2006/relationships/hyperlink" Target="http://www.nevo.co.il/law/4216/7.a.;7.c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2024-01-22T13:49:00Z</dcterms:created>
  <dc:creator> </dc:creator>
  <dc:description/>
  <cp:keywords/>
  <dc:language>en-IL</dc:language>
  <cp:lastModifiedBy>h1</cp:lastModifiedBy>
  <dcterms:modified xsi:type="dcterms:W3CDTF">2024-01-22T13:49:00Z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מתן עוזירי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27084141</vt:lpwstr>
  </property>
  <property fmtid="{D5CDD505-2E9C-101B-9397-08002B2CF9AE}" pid="9" name="CITY">
    <vt:lpwstr>פ"ת</vt:lpwstr>
  </property>
  <property fmtid="{D5CDD505-2E9C-101B-9397-08002B2CF9AE}" pid="10" name="DATE">
    <vt:lpwstr>20230305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דרור קלייטמן</vt:lpwstr>
  </property>
  <property fmtid="{D5CDD505-2E9C-101B-9397-08002B2CF9AE}" pid="14" name="LAWLISTTMP1">
    <vt:lpwstr>4216/007.a;007.c</vt:lpwstr>
  </property>
  <property fmtid="{D5CDD505-2E9C-101B-9397-08002B2CF9AE}" pid="15" name="LAWLISTTMP2">
    <vt:lpwstr>70301/144.a;144:2</vt:lpwstr>
  </property>
  <property fmtid="{D5CDD505-2E9C-101B-9397-08002B2CF9AE}" pid="16" name="LAWYER">
    <vt:lpwstr>קרין שטרית;אמיר ברכה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37282</vt:lpwstr>
  </property>
  <property fmtid="{D5CDD505-2E9C-101B-9397-08002B2CF9AE}" pid="23" name="NEWPARTB">
    <vt:lpwstr>10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380020230305</vt:lpwstr>
  </property>
  <property fmtid="{D5CDD505-2E9C-101B-9397-08002B2CF9AE}" pid="35" name="TYPE_N_DATE">
    <vt:lpwstr>38020230305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