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3973"/>
        <w:gridCol w:w="1068"/>
        <w:gridCol w:w="3679"/>
      </w:tblGrid>
      <w:tr>
        <w:trPr>
          <w:trHeight w:val="418" w:hRule="exact"/>
        </w:trPr>
        <w:tc>
          <w:tcPr>
            <w:tcW w:w="8720" w:type="dxa"/>
            <w:gridSpan w:val="3"/>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בבאר שבע</w:t>
            </w:r>
          </w:p>
        </w:tc>
      </w:tr>
      <w:tr>
        <w:trPr>
          <w:trHeight w:val="337" w:hRule="atLeast"/>
        </w:trPr>
        <w:tc>
          <w:tcPr>
            <w:tcW w:w="3973"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3735-09</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פרקליטות מחוז דרום</w:t>
            </w:r>
            <w:r>
              <w:rPr>
                <w:b/>
                <w:bCs/>
                <w:sz w:val="26"/>
                <w:szCs w:val="26"/>
                <w:rtl w:val="true"/>
              </w:rPr>
              <w:t>-</w:t>
            </w:r>
            <w:r>
              <w:rPr>
                <w:b/>
                <w:b/>
                <w:bCs/>
                <w:sz w:val="26"/>
                <w:sz w:val="26"/>
                <w:szCs w:val="26"/>
                <w:rtl w:val="true"/>
              </w:rPr>
              <w:t>פלילי נ</w:t>
            </w:r>
            <w:r>
              <w:rPr>
                <w:b/>
                <w:bCs/>
                <w:sz w:val="26"/>
                <w:szCs w:val="26"/>
                <w:rtl w:val="true"/>
              </w:rPr>
              <w:t xml:space="preserve">' </w:t>
            </w:r>
            <w:r>
              <w:rPr>
                <w:b/>
                <w:b/>
                <w:bCs/>
                <w:sz w:val="26"/>
                <w:sz w:val="26"/>
                <w:szCs w:val="26"/>
                <w:rtl w:val="true"/>
              </w:rPr>
              <w:t>אשירוב</w:t>
            </w:r>
          </w:p>
        </w:tc>
        <w:tc>
          <w:tcPr>
            <w:tcW w:w="1068" w:type="dxa"/>
            <w:tcBorders/>
          </w:tcPr>
          <w:p>
            <w:pPr>
              <w:pStyle w:val="Header"/>
              <w:snapToGrid w:val="false"/>
              <w:ind w:end="0"/>
              <w:jc w:val="end"/>
              <w:rPr>
                <w:b/>
                <w:bCs/>
                <w:sz w:val="26"/>
                <w:szCs w:val="26"/>
              </w:rPr>
            </w:pPr>
            <w:r>
              <w:rPr>
                <w:b/>
                <w:bCs/>
                <w:sz w:val="26"/>
                <w:szCs w:val="26"/>
                <w:rtl w:val="true"/>
              </w:rPr>
            </w:r>
          </w:p>
        </w:tc>
        <w:tc>
          <w:tcPr>
            <w:tcW w:w="3679" w:type="dxa"/>
            <w:tcBorders/>
          </w:tcPr>
          <w:p>
            <w:pPr>
              <w:pStyle w:val="Header"/>
              <w:tabs>
                <w:tab w:val="clear" w:pos="720"/>
              </w:tabs>
              <w:ind w:end="0"/>
              <w:jc w:val="end"/>
              <w:rPr>
                <w:b/>
                <w:bCs/>
                <w:sz w:val="26"/>
                <w:szCs w:val="26"/>
              </w:rPr>
            </w:pPr>
            <w:r>
              <w:rPr>
                <w:b/>
                <w:bCs/>
                <w:sz w:val="26"/>
                <w:szCs w:val="26"/>
              </w:rPr>
              <w:t>03</w:t>
            </w:r>
            <w:r>
              <w:rPr>
                <w:b/>
                <w:bCs/>
                <w:sz w:val="26"/>
                <w:szCs w:val="26"/>
                <w:rtl w:val="true"/>
              </w:rPr>
              <w:t xml:space="preserve"> </w:t>
            </w:r>
            <w:r>
              <w:rPr>
                <w:b/>
                <w:b/>
                <w:bCs/>
                <w:sz w:val="26"/>
                <w:sz w:val="26"/>
                <w:szCs w:val="26"/>
                <w:rtl w:val="true"/>
              </w:rPr>
              <w:t xml:space="preserve">יולי </w:t>
            </w:r>
            <w:r>
              <w:rPr>
                <w:b/>
                <w:bCs/>
                <w:sz w:val="26"/>
                <w:szCs w:val="26"/>
              </w:rPr>
              <w:t>2011</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pacing w:lineRule="auto" w:line="360"/>
        <w:ind w:end="0"/>
        <w:jc w:val="both"/>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5856"/>
        <w:gridCol w:w="239"/>
        <w:gridCol w:w="2625"/>
      </w:tblGrid>
      <w:tr>
        <w:trPr>
          <w:trHeight w:val="337" w:hRule="atLeast"/>
        </w:trPr>
        <w:tc>
          <w:tcPr>
            <w:tcW w:w="5856" w:type="dxa"/>
            <w:tcBorders/>
          </w:tcPr>
          <w:p>
            <w:pPr>
              <w:pStyle w:val="Normal"/>
              <w:spacing w:lineRule="auto" w:line="360"/>
              <w:ind w:end="0"/>
              <w:jc w:val="both"/>
              <w:rPr>
                <w:b/>
                <w:bCs/>
                <w:sz w:val="26"/>
                <w:szCs w:val="26"/>
              </w:rPr>
            </w:pPr>
            <w:r>
              <w:rPr>
                <w:b/>
                <w:b/>
                <w:bCs/>
                <w:sz w:val="26"/>
                <w:sz w:val="26"/>
                <w:szCs w:val="26"/>
                <w:rtl w:val="true"/>
              </w:rPr>
              <w:t>בפני כב</w:t>
            </w:r>
            <w:r>
              <w:rPr>
                <w:b/>
                <w:bCs/>
                <w:sz w:val="26"/>
                <w:szCs w:val="26"/>
                <w:rtl w:val="true"/>
              </w:rPr>
              <w:t xml:space="preserve">' </w:t>
            </w:r>
            <w:r>
              <w:rPr>
                <w:b/>
                <w:b/>
                <w:bCs/>
                <w:sz w:val="26"/>
                <w:sz w:val="26"/>
                <w:szCs w:val="26"/>
                <w:rtl w:val="true"/>
              </w:rPr>
              <w:t>השופטת דרורה בית אור</w:t>
            </w:r>
            <w:r>
              <w:rPr>
                <w:b/>
                <w:bCs/>
                <w:sz w:val="26"/>
                <w:szCs w:val="26"/>
                <w:rtl w:val="true"/>
              </w:rPr>
              <w:t xml:space="preserve">, </w:t>
            </w:r>
            <w:r>
              <w:rPr>
                <w:b/>
                <w:b/>
                <w:bCs/>
                <w:sz w:val="26"/>
                <w:sz w:val="26"/>
                <w:szCs w:val="26"/>
                <w:rtl w:val="true"/>
              </w:rPr>
              <w:t>סגן נשיא</w:t>
            </w:r>
          </w:p>
        </w:tc>
        <w:tc>
          <w:tcPr>
            <w:tcW w:w="239" w:type="dxa"/>
            <w:tcBorders/>
          </w:tcPr>
          <w:p>
            <w:pPr>
              <w:pStyle w:val="Header"/>
              <w:snapToGrid w:val="false"/>
              <w:ind w:end="0"/>
              <w:jc w:val="both"/>
              <w:rPr>
                <w:b/>
                <w:bCs/>
                <w:sz w:val="26"/>
                <w:szCs w:val="26"/>
              </w:rPr>
            </w:pPr>
            <w:r>
              <w:rPr>
                <w:b/>
                <w:bCs/>
                <w:sz w:val="26"/>
                <w:szCs w:val="26"/>
                <w:rtl w:val="true"/>
              </w:rPr>
            </w:r>
          </w:p>
        </w:tc>
        <w:tc>
          <w:tcPr>
            <w:tcW w:w="2625" w:type="dxa"/>
            <w:tcBorders/>
          </w:tcPr>
          <w:p>
            <w:pPr>
              <w:pStyle w:val="Header"/>
              <w:snapToGrid w:val="false"/>
              <w:ind w:end="0"/>
              <w:jc w:val="both"/>
              <w:rPr>
                <w:b/>
                <w:bCs/>
                <w:sz w:val="26"/>
                <w:szCs w:val="26"/>
              </w:rPr>
            </w:pPr>
            <w:r>
              <w:rPr>
                <w:b/>
                <w:bCs/>
                <w:sz w:val="26"/>
                <w:szCs w:val="26"/>
                <w:rtl w:val="true"/>
              </w:rPr>
            </w:r>
          </w:p>
        </w:tc>
      </w:tr>
    </w:tbl>
    <w:p>
      <w:pPr>
        <w:pStyle w:val="Normal"/>
        <w:spacing w:lineRule="auto" w:line="360"/>
        <w:ind w:end="0"/>
        <w:jc w:val="both"/>
        <w:rPr>
          <w:rFonts w:ascii="Arial" w:hAnsi="Arial" w:cs="Arial"/>
        </w:rPr>
      </w:pPr>
      <w:r>
        <w:rPr>
          <w:rFonts w:cs="Arial" w:ascii="Arial" w:hAnsi="Arial"/>
          <w:rtl w:val="true"/>
        </w:rPr>
      </w:r>
      <w:bookmarkStart w:id="0" w:name="LastJudge"/>
      <w:bookmarkStart w:id="1" w:name="LastJudge"/>
      <w:bookmarkEnd w:id="1"/>
    </w:p>
    <w:tbl>
      <w:tblPr>
        <w:bidiVisual w:val="true"/>
        <w:tblW w:w="8802" w:type="dxa"/>
        <w:jc w:val="start"/>
        <w:tblInd w:w="-54" w:type="dxa"/>
        <w:tblLayout w:type="fixed"/>
        <w:tblCellMar>
          <w:top w:w="0" w:type="dxa"/>
          <w:start w:w="108" w:type="dxa"/>
          <w:bottom w:w="0" w:type="dxa"/>
          <w:end w:w="108" w:type="dxa"/>
        </w:tblCellMar>
      </w:tblPr>
      <w:tblGrid>
        <w:gridCol w:w="3240"/>
        <w:gridCol w:w="5562"/>
      </w:tblGrid>
      <w:tr>
        <w:trPr/>
        <w:tc>
          <w:tcPr>
            <w:tcW w:w="3240" w:type="dxa"/>
            <w:tcBorders/>
          </w:tcPr>
          <w:p>
            <w:pPr>
              <w:pStyle w:val="Normal"/>
              <w:ind w:start="26" w:end="0"/>
              <w:jc w:val="start"/>
              <w:rPr>
                <w:b/>
                <w:bCs/>
                <w:sz w:val="26"/>
                <w:szCs w:val="26"/>
              </w:rPr>
            </w:pPr>
            <w:bookmarkStart w:id="2" w:name="FirstAppellant"/>
            <w:bookmarkEnd w:id="2"/>
            <w:r>
              <w:rPr>
                <w:b/>
                <w:b/>
                <w:bCs/>
                <w:sz w:val="26"/>
                <w:sz w:val="26"/>
                <w:szCs w:val="26"/>
                <w:rtl w:val="true"/>
              </w:rPr>
              <w:t>ה</w:t>
            </w:r>
            <w:r>
              <w:rPr>
                <w:b/>
                <w:b/>
                <w:bCs/>
                <w:sz w:val="26"/>
                <w:sz w:val="26"/>
                <w:szCs w:val="26"/>
                <w:rtl w:val="true"/>
              </w:rPr>
              <w:t>מאשימה</w:t>
            </w:r>
          </w:p>
        </w:tc>
        <w:tc>
          <w:tcPr>
            <w:tcW w:w="5562" w:type="dxa"/>
            <w:tcBorders/>
          </w:tcPr>
          <w:p>
            <w:pPr>
              <w:pStyle w:val="Normal"/>
              <w:ind w:end="0"/>
              <w:jc w:val="start"/>
              <w:rPr>
                <w:b/>
                <w:bCs/>
                <w:sz w:val="26"/>
                <w:szCs w:val="26"/>
              </w:rPr>
            </w:pPr>
            <w:r>
              <w:rPr>
                <w:b/>
                <w:b/>
                <w:bCs/>
                <w:sz w:val="26"/>
                <w:sz w:val="26"/>
                <w:szCs w:val="26"/>
                <w:rtl w:val="true"/>
              </w:rPr>
              <w:t xml:space="preserve">מדינת ישראל </w:t>
            </w:r>
            <w:r>
              <w:rPr>
                <w:b/>
                <w:b/>
                <w:bCs/>
                <w:sz w:val="26"/>
                <w:sz w:val="26"/>
                <w:szCs w:val="26"/>
                <w:rtl w:val="true"/>
              </w:rPr>
              <w:t>–</w:t>
            </w:r>
            <w:r>
              <w:rPr>
                <w:b/>
                <w:b/>
                <w:bCs/>
                <w:sz w:val="26"/>
                <w:sz w:val="26"/>
                <w:szCs w:val="26"/>
                <w:rtl w:val="true"/>
              </w:rPr>
              <w:t xml:space="preserve"> פמ</w:t>
            </w:r>
            <w:r>
              <w:rPr>
                <w:b/>
                <w:bCs/>
                <w:sz w:val="26"/>
                <w:szCs w:val="26"/>
                <w:rtl w:val="true"/>
              </w:rPr>
              <w:t>"</w:t>
            </w:r>
            <w:r>
              <w:rPr>
                <w:b/>
                <w:b/>
                <w:bCs/>
                <w:sz w:val="26"/>
                <w:sz w:val="26"/>
                <w:szCs w:val="26"/>
                <w:rtl w:val="true"/>
              </w:rPr>
              <w:t>ד</w:t>
            </w:r>
          </w:p>
          <w:p>
            <w:pPr>
              <w:pStyle w:val="Normal"/>
              <w:ind w:end="0"/>
              <w:jc w:val="start"/>
              <w:rPr>
                <w:b/>
                <w:bCs/>
              </w:rPr>
            </w:pPr>
            <w:r>
              <w:rPr>
                <w:b/>
                <w:b/>
                <w:bCs/>
                <w:rtl w:val="true"/>
              </w:rPr>
              <w:t>ע</w:t>
            </w:r>
            <w:r>
              <w:rPr>
                <w:b/>
                <w:bCs/>
                <w:rtl w:val="true"/>
              </w:rPr>
              <w:t>"</w:t>
            </w:r>
            <w:r>
              <w:rPr>
                <w:b/>
                <w:b/>
                <w:bCs/>
                <w:rtl w:val="true"/>
              </w:rPr>
              <w:t>י המתמחה זוהר אזרואל</w:t>
            </w:r>
          </w:p>
        </w:tc>
      </w:tr>
      <w:tr>
        <w:trPr/>
        <w:tc>
          <w:tcPr>
            <w:tcW w:w="8802" w:type="dxa"/>
            <w:gridSpan w:val="2"/>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3240" w:type="dxa"/>
            <w:tcBorders/>
          </w:tcPr>
          <w:p>
            <w:pPr>
              <w:pStyle w:val="Normal"/>
              <w:ind w:start="26" w:end="0"/>
              <w:jc w:val="start"/>
              <w:rPr>
                <w:b/>
                <w:bCs/>
                <w:sz w:val="26"/>
                <w:szCs w:val="26"/>
              </w:rPr>
            </w:pPr>
            <w:bookmarkStart w:id="3" w:name="FirstLawyer"/>
            <w:bookmarkEnd w:id="3"/>
            <w:r>
              <w:rPr>
                <w:b/>
                <w:b/>
                <w:bCs/>
                <w:sz w:val="26"/>
                <w:sz w:val="26"/>
                <w:szCs w:val="26"/>
                <w:rtl w:val="true"/>
              </w:rPr>
              <w:t>הנאשם</w:t>
            </w:r>
          </w:p>
        </w:tc>
        <w:tc>
          <w:tcPr>
            <w:tcW w:w="5562" w:type="dxa"/>
            <w:tcBorders/>
          </w:tcPr>
          <w:p>
            <w:pPr>
              <w:pStyle w:val="Normal"/>
              <w:ind w:end="0"/>
              <w:jc w:val="start"/>
              <w:rPr>
                <w:b/>
                <w:bCs/>
                <w:sz w:val="26"/>
                <w:szCs w:val="26"/>
              </w:rPr>
            </w:pPr>
            <w:r>
              <w:rPr>
                <w:b/>
                <w:b/>
                <w:bCs/>
                <w:sz w:val="26"/>
                <w:sz w:val="26"/>
                <w:szCs w:val="26"/>
                <w:rtl w:val="true"/>
              </w:rPr>
              <w:t>בכטיאר אשירוב</w:t>
            </w:r>
            <w:r>
              <w:rPr>
                <w:b/>
                <w:b/>
                <w:bCs/>
                <w:sz w:val="26"/>
                <w:sz w:val="26"/>
                <w:szCs w:val="26"/>
                <w:rtl w:val="true"/>
              </w:rPr>
              <w:t xml:space="preserve"> </w:t>
            </w:r>
            <w:r>
              <w:rPr>
                <w:b/>
                <w:bCs/>
                <w:sz w:val="26"/>
                <w:szCs w:val="26"/>
                <w:rtl w:val="true"/>
              </w:rPr>
              <w:t xml:space="preserve">- </w:t>
            </w:r>
            <w:r>
              <w:rPr>
                <w:b/>
                <w:b/>
                <w:bCs/>
                <w:sz w:val="26"/>
                <w:sz w:val="26"/>
                <w:szCs w:val="26"/>
                <w:rtl w:val="true"/>
              </w:rPr>
              <w:t>בעצמו</w:t>
            </w:r>
          </w:p>
          <w:p>
            <w:pPr>
              <w:pStyle w:val="Normal"/>
              <w:ind w:end="0"/>
              <w:jc w:val="start"/>
              <w:rPr>
                <w:b/>
                <w:bCs/>
                <w:sz w:val="26"/>
                <w:szCs w:val="26"/>
              </w:rPr>
            </w:pPr>
            <w:r>
              <w:rPr>
                <w:b/>
                <w:b/>
                <w:bCs/>
                <w:rtl w:val="true"/>
              </w:rPr>
              <w:t>ע</w:t>
            </w:r>
            <w:r>
              <w:rPr>
                <w:b/>
                <w:bCs/>
                <w:rtl w:val="true"/>
              </w:rPr>
              <w:t>"</w:t>
            </w:r>
            <w:r>
              <w:rPr>
                <w:b/>
                <w:b/>
                <w:bCs/>
                <w:rtl w:val="true"/>
              </w:rPr>
              <w:t>י ב</w:t>
            </w:r>
            <w:r>
              <w:rPr>
                <w:b/>
                <w:bCs/>
                <w:rtl w:val="true"/>
              </w:rPr>
              <w:t>"</w:t>
            </w:r>
            <w:r>
              <w:rPr>
                <w:b/>
                <w:b/>
                <w:bCs/>
                <w:rtl w:val="true"/>
              </w:rPr>
              <w:t>כ עוה</w:t>
            </w:r>
            <w:r>
              <w:rPr>
                <w:b/>
                <w:bCs/>
                <w:rtl w:val="true"/>
              </w:rPr>
              <w:t>"</w:t>
            </w:r>
            <w:r>
              <w:rPr>
                <w:b/>
                <w:b/>
                <w:bCs/>
                <w:rtl w:val="true"/>
              </w:rPr>
              <w:t>ד</w:t>
            </w:r>
            <w:r>
              <w:rPr>
                <w:b/>
                <w:b/>
                <w:bCs/>
                <w:sz w:val="26"/>
                <w:sz w:val="26"/>
                <w:szCs w:val="26"/>
                <w:rtl w:val="true"/>
              </w:rPr>
              <w:t xml:space="preserve"> נסאר מוסטפא </w:t>
            </w:r>
            <w:r>
              <w:rPr>
                <w:b/>
                <w:b/>
                <w:bCs/>
                <w:sz w:val="26"/>
                <w:sz w:val="26"/>
                <w:szCs w:val="26"/>
                <w:rtl w:val="true"/>
              </w:rPr>
              <w:t>–</w:t>
            </w:r>
            <w:r>
              <w:rPr>
                <w:b/>
                <w:b/>
                <w:bCs/>
                <w:sz w:val="26"/>
                <w:sz w:val="26"/>
                <w:szCs w:val="26"/>
                <w:rtl w:val="true"/>
              </w:rPr>
              <w:t xml:space="preserve"> ס</w:t>
            </w:r>
            <w:r>
              <w:rPr>
                <w:b/>
                <w:bCs/>
                <w:sz w:val="26"/>
                <w:szCs w:val="26"/>
                <w:rtl w:val="true"/>
              </w:rPr>
              <w:t>.</w:t>
            </w:r>
            <w:r>
              <w:rPr>
                <w:b/>
                <w:b/>
                <w:bCs/>
                <w:sz w:val="26"/>
                <w:sz w:val="26"/>
                <w:szCs w:val="26"/>
                <w:rtl w:val="true"/>
              </w:rPr>
              <w:t>צ</w:t>
            </w:r>
            <w:r>
              <w:rPr>
                <w:b/>
                <w:bCs/>
                <w:sz w:val="26"/>
                <w:szCs w:val="26"/>
                <w:rtl w:val="true"/>
              </w:rPr>
              <w:t>.</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Normal"/>
        <w:spacing w:lineRule="auto" w:line="360"/>
        <w:ind w:end="0"/>
        <w:jc w:val="center"/>
        <w:rPr>
          <w:rFonts w:ascii="Arial" w:hAnsi="Arial" w:cs="Arial"/>
          <w:b/>
          <w:bCs/>
          <w:sz w:val="28"/>
          <w:szCs w:val="28"/>
        </w:rPr>
      </w:pPr>
      <w:r>
        <w:rPr>
          <w:rFonts w:cs="Arial" w:ascii="Arial" w:hAnsi="Arial"/>
          <w:b/>
          <w:bCs/>
          <w:sz w:val="28"/>
          <w:szCs w:val="28"/>
          <w:rtl w:val="true"/>
        </w:rPr>
      </w:r>
    </w:p>
    <w:p>
      <w:pPr>
        <w:pStyle w:val="Normal"/>
        <w:spacing w:lineRule="auto" w:line="360"/>
        <w:ind w:end="0"/>
        <w:jc w:val="center"/>
        <w:rPr>
          <w:rFonts w:ascii="Arial" w:hAnsi="Arial" w:cs="Arial"/>
          <w:b/>
          <w:bCs/>
          <w:sz w:val="28"/>
          <w:szCs w:val="28"/>
          <w:u w:val="single"/>
        </w:rPr>
      </w:pPr>
      <w:bookmarkStart w:id="4" w:name="PsakDin"/>
      <w:bookmarkEnd w:id="4"/>
      <w:r>
        <w:rPr>
          <w:rFonts w:ascii="Arial" w:hAnsi="Arial" w:cs="Arial"/>
          <w:b/>
          <w:b/>
          <w:bCs/>
          <w:sz w:val="28"/>
          <w:sz w:val="28"/>
          <w:szCs w:val="28"/>
          <w:u w:val="single"/>
          <w:rtl w:val="true"/>
        </w:rPr>
        <w:t>גזר דין</w:t>
      </w:r>
    </w:p>
    <w:p>
      <w:pPr>
        <w:pStyle w:val="Normal"/>
        <w:spacing w:lineRule="auto" w:line="360"/>
        <w:ind w:end="0"/>
        <w:jc w:val="both"/>
        <w:rPr>
          <w:b/>
          <w:bCs/>
        </w:rPr>
      </w:pPr>
      <w:bookmarkStart w:id="5" w:name="PsakDin"/>
      <w:bookmarkStart w:id="6" w:name="ABSTRACT_START"/>
      <w:bookmarkEnd w:id="5"/>
      <w:bookmarkEnd w:id="6"/>
      <w:r>
        <w:rPr>
          <w:b/>
          <w:b/>
          <w:bCs/>
          <w:rtl w:val="true"/>
        </w:rPr>
        <w:t>הנאשם הורשע עפ</w:t>
      </w:r>
      <w:r>
        <w:rPr>
          <w:b/>
          <w:bCs/>
          <w:rtl w:val="true"/>
        </w:rPr>
        <w:t>"</w:t>
      </w:r>
      <w:r>
        <w:rPr>
          <w:b/>
          <w:b/>
          <w:bCs/>
          <w:rtl w:val="true"/>
        </w:rPr>
        <w:t xml:space="preserve">י הודאתו ובהסדר טיעון בעבירות של עבירות בנשק לפי סעיף </w:t>
      </w:r>
      <w:r>
        <w:rPr>
          <w:b/>
          <w:bCs/>
        </w:rPr>
        <w:t>144</w:t>
      </w:r>
      <w:r>
        <w:rPr>
          <w:b/>
          <w:bCs/>
          <w:rtl w:val="true"/>
        </w:rPr>
        <w:t xml:space="preserve"> (</w:t>
      </w:r>
      <w:r>
        <w:rPr>
          <w:b/>
          <w:b/>
          <w:bCs/>
          <w:rtl w:val="true"/>
        </w:rPr>
        <w:t>א</w:t>
      </w:r>
      <w:r>
        <w:rPr>
          <w:b/>
          <w:bCs/>
          <w:rtl w:val="true"/>
        </w:rPr>
        <w:t xml:space="preserve">) </w:t>
      </w:r>
      <w:r>
        <w:rPr>
          <w:b/>
          <w:b/>
          <w:bCs/>
          <w:rtl w:val="true"/>
        </w:rPr>
        <w:t>רישא ל</w:t>
      </w:r>
      <w:hyperlink r:id="rId2">
        <w:r>
          <w:rPr>
            <w:rStyle w:val="Hyperlink"/>
            <w:b/>
            <w:b/>
            <w:bCs/>
            <w:color w:val="0000FF"/>
            <w:u w:val="single"/>
            <w:rtl w:val="true"/>
          </w:rPr>
          <w:t>חוק העונשין</w:t>
        </w:r>
      </w:hyperlink>
      <w:r>
        <w:rPr>
          <w:b/>
          <w:b/>
          <w:bCs/>
          <w:rtl w:val="true"/>
        </w:rPr>
        <w:t xml:space="preserve"> התשל</w:t>
      </w:r>
      <w:r>
        <w:rPr>
          <w:b/>
          <w:bCs/>
          <w:rtl w:val="true"/>
        </w:rPr>
        <w:t>"</w:t>
      </w:r>
      <w:r>
        <w:rPr>
          <w:b/>
          <w:b/>
          <w:bCs/>
          <w:rtl w:val="true"/>
        </w:rPr>
        <w:t xml:space="preserve">ז </w:t>
      </w:r>
      <w:r>
        <w:rPr>
          <w:b/>
          <w:bCs/>
          <w:rtl w:val="true"/>
        </w:rPr>
        <w:t xml:space="preserve">- </w:t>
      </w:r>
      <w:r>
        <w:rPr>
          <w:b/>
          <w:bCs/>
        </w:rPr>
        <w:t>1977</w:t>
      </w:r>
      <w:r>
        <w:rPr>
          <w:b/>
          <w:bCs/>
          <w:rtl w:val="true"/>
        </w:rPr>
        <w:t xml:space="preserve"> (</w:t>
      </w:r>
      <w:r>
        <w:rPr>
          <w:b/>
          <w:b/>
          <w:bCs/>
          <w:rtl w:val="true"/>
        </w:rPr>
        <w:t>להלן</w:t>
      </w:r>
      <w:r>
        <w:rPr>
          <w:b/>
          <w:bCs/>
          <w:rtl w:val="true"/>
        </w:rPr>
        <w:t>:"</w:t>
      </w:r>
      <w:r>
        <w:rPr>
          <w:b/>
          <w:b/>
          <w:bCs/>
          <w:rtl w:val="true"/>
        </w:rPr>
        <w:t>החוק</w:t>
      </w:r>
      <w:r>
        <w:rPr>
          <w:b/>
          <w:bCs/>
          <w:rtl w:val="true"/>
        </w:rPr>
        <w:t xml:space="preserve">") </w:t>
      </w:r>
      <w:r>
        <w:rPr>
          <w:b/>
          <w:b/>
          <w:bCs/>
          <w:rtl w:val="true"/>
        </w:rPr>
        <w:t xml:space="preserve">ובעבירה של אחזקת סם מסוכן לצריכה עצמית לפי סעיף </w:t>
      </w:r>
      <w:r>
        <w:rPr>
          <w:b/>
          <w:bCs/>
        </w:rPr>
        <w:t>7</w:t>
      </w:r>
      <w:r>
        <w:rPr>
          <w:b/>
          <w:bCs/>
          <w:rtl w:val="true"/>
        </w:rPr>
        <w:t xml:space="preserve"> (</w:t>
      </w:r>
      <w:r>
        <w:rPr>
          <w:b/>
          <w:b/>
          <w:bCs/>
          <w:rtl w:val="true"/>
        </w:rPr>
        <w:t>א</w:t>
      </w:r>
      <w:r>
        <w:rPr>
          <w:b/>
          <w:bCs/>
          <w:rtl w:val="true"/>
        </w:rPr>
        <w:t>) (</w:t>
      </w:r>
      <w:r>
        <w:rPr>
          <w:b/>
          <w:b/>
          <w:bCs/>
          <w:rtl w:val="true"/>
        </w:rPr>
        <w:t>ג</w:t>
      </w:r>
      <w:r>
        <w:rPr>
          <w:b/>
          <w:bCs/>
          <w:rtl w:val="true"/>
        </w:rPr>
        <w:t xml:space="preserve">) </w:t>
      </w:r>
      <w:r>
        <w:rPr>
          <w:b/>
          <w:b/>
          <w:bCs/>
          <w:rtl w:val="true"/>
        </w:rPr>
        <w:t>סיפא ל</w:t>
      </w:r>
      <w:hyperlink r:id="rId3">
        <w:r>
          <w:rPr>
            <w:rStyle w:val="Hyperlink"/>
            <w:b/>
            <w:b/>
            <w:bCs/>
            <w:color w:val="0000FF"/>
            <w:u w:val="single"/>
            <w:rtl w:val="true"/>
          </w:rPr>
          <w:t>פקודת הסמים המסוכנים</w:t>
        </w:r>
      </w:hyperlink>
      <w:r>
        <w:rPr>
          <w:b/>
          <w:b/>
          <w:bCs/>
          <w:rtl w:val="true"/>
        </w:rPr>
        <w:t xml:space="preserve"> </w:t>
      </w:r>
      <w:r>
        <w:rPr>
          <w:b/>
          <w:bCs/>
          <w:rtl w:val="true"/>
        </w:rPr>
        <w:t>[</w:t>
      </w:r>
      <w:r>
        <w:rPr>
          <w:b/>
          <w:b/>
          <w:bCs/>
          <w:rtl w:val="true"/>
        </w:rPr>
        <w:t>נוסח חדש</w:t>
      </w:r>
      <w:r>
        <w:rPr>
          <w:b/>
          <w:bCs/>
          <w:rtl w:val="true"/>
        </w:rPr>
        <w:t xml:space="preserve">] </w:t>
      </w:r>
      <w:r>
        <w:rPr>
          <w:b/>
          <w:b/>
          <w:bCs/>
          <w:rtl w:val="true"/>
        </w:rPr>
        <w:t>תשל</w:t>
      </w:r>
      <w:r>
        <w:rPr>
          <w:b/>
          <w:bCs/>
          <w:rtl w:val="true"/>
        </w:rPr>
        <w:t>"</w:t>
      </w:r>
      <w:r>
        <w:rPr>
          <w:b/>
          <w:b/>
          <w:bCs/>
          <w:rtl w:val="true"/>
        </w:rPr>
        <w:t xml:space="preserve">ג </w:t>
      </w:r>
      <w:r>
        <w:rPr>
          <w:b/>
          <w:bCs/>
          <w:rtl w:val="true"/>
        </w:rPr>
        <w:t xml:space="preserve">- </w:t>
      </w:r>
      <w:r>
        <w:rPr>
          <w:b/>
          <w:bCs/>
        </w:rPr>
        <w:t>1973</w:t>
      </w:r>
      <w:r>
        <w:rPr>
          <w:b/>
          <w:bCs/>
          <w:rtl w:val="true"/>
        </w:rPr>
        <w:t xml:space="preserve"> (</w:t>
      </w:r>
      <w:r>
        <w:rPr>
          <w:b/>
          <w:b/>
          <w:bCs/>
          <w:rtl w:val="true"/>
        </w:rPr>
        <w:t>להלן</w:t>
      </w:r>
      <w:r>
        <w:rPr>
          <w:b/>
          <w:bCs/>
          <w:rtl w:val="true"/>
        </w:rPr>
        <w:t>:"</w:t>
      </w:r>
      <w:r>
        <w:rPr>
          <w:b/>
          <w:b/>
          <w:bCs/>
          <w:rtl w:val="true"/>
        </w:rPr>
        <w:t>הפקודה</w:t>
      </w:r>
      <w:r>
        <w:rPr>
          <w:b/>
          <w:bCs/>
          <w:rtl w:val="true"/>
        </w:rPr>
        <w:t>").</w:t>
      </w:r>
    </w:p>
    <w:p>
      <w:pPr>
        <w:pStyle w:val="Normal"/>
        <w:spacing w:lineRule="auto" w:line="360"/>
        <w:ind w:end="0"/>
        <w:jc w:val="both"/>
        <w:rPr>
          <w:b/>
          <w:bCs/>
        </w:rPr>
      </w:pPr>
      <w:r>
        <w:rPr>
          <w:b/>
          <w:bCs/>
          <w:rtl w:val="true"/>
        </w:rPr>
      </w:r>
      <w:bookmarkStart w:id="7" w:name="ABSTRACT_END"/>
      <w:bookmarkStart w:id="8" w:name="ABSTRACT_END"/>
      <w:bookmarkEnd w:id="8"/>
    </w:p>
    <w:p>
      <w:pPr>
        <w:pStyle w:val="Normal"/>
        <w:spacing w:lineRule="auto" w:line="360"/>
        <w:ind w:end="0"/>
        <w:jc w:val="both"/>
        <w:rPr>
          <w:b/>
          <w:bCs/>
        </w:rPr>
      </w:pPr>
      <w:r>
        <w:rPr>
          <w:b/>
          <w:b/>
          <w:bCs/>
          <w:rtl w:val="true"/>
        </w:rPr>
        <w:t xml:space="preserve">על פי כתב האישום ביום </w:t>
      </w:r>
      <w:r>
        <w:rPr>
          <w:b/>
          <w:bCs/>
        </w:rPr>
        <w:t>9.10.09</w:t>
      </w:r>
      <w:r>
        <w:rPr>
          <w:b/>
          <w:bCs/>
          <w:rtl w:val="true"/>
        </w:rPr>
        <w:t xml:space="preserve"> </w:t>
      </w:r>
      <w:r>
        <w:rPr>
          <w:b/>
          <w:b/>
          <w:bCs/>
          <w:rtl w:val="true"/>
        </w:rPr>
        <w:t>החזיק הנאשם סם מסוכן מסוג הרואין ומסוג חשיש לצריכתו העצמית</w:t>
      </w:r>
      <w:r>
        <w:rPr>
          <w:b/>
          <w:bCs/>
          <w:rtl w:val="true"/>
        </w:rPr>
        <w:t xml:space="preserve">. </w:t>
      </w:r>
      <w:r>
        <w:rPr>
          <w:b/>
          <w:b/>
          <w:bCs/>
          <w:rtl w:val="true"/>
        </w:rPr>
        <w:t>עוד עפ</w:t>
      </w:r>
      <w:r>
        <w:rPr>
          <w:b/>
          <w:bCs/>
          <w:rtl w:val="true"/>
        </w:rPr>
        <w:t>"</w:t>
      </w:r>
      <w:r>
        <w:rPr>
          <w:b/>
          <w:b/>
          <w:bCs/>
          <w:rtl w:val="true"/>
        </w:rPr>
        <w:t>י כתב האישום הנאשם החזיק שני רימוני יד שסביב גופו של הרימון מוצמדים ברגים</w:t>
      </w:r>
      <w:r>
        <w:rPr>
          <w:b/>
          <w:bCs/>
          <w:rtl w:val="true"/>
        </w:rPr>
        <w:t xml:space="preserve">, </w:t>
      </w:r>
      <w:r>
        <w:rPr>
          <w:b/>
          <w:b/>
          <w:bCs/>
          <w:rtl w:val="true"/>
        </w:rPr>
        <w:t>מסמרים</w:t>
      </w:r>
      <w:r>
        <w:rPr>
          <w:b/>
          <w:bCs/>
          <w:rtl w:val="true"/>
        </w:rPr>
        <w:t xml:space="preserve">, </w:t>
      </w:r>
      <w:r>
        <w:rPr>
          <w:b/>
          <w:b/>
          <w:bCs/>
          <w:rtl w:val="true"/>
        </w:rPr>
        <w:t>באמצעות סרט דביק ושני מנגנונים לרימון יד</w:t>
      </w:r>
      <w:r>
        <w:rPr>
          <w:b/>
          <w:bCs/>
          <w:rtl w:val="true"/>
        </w:rPr>
        <w:t xml:space="preserve">. </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הנאשם הודה בהזדמנות הראשונה</w:t>
      </w:r>
      <w:r>
        <w:rPr>
          <w:b/>
          <w:bCs/>
          <w:rtl w:val="true"/>
        </w:rPr>
        <w:t xml:space="preserve">, </w:t>
      </w:r>
      <w:r>
        <w:rPr>
          <w:b/>
          <w:b/>
          <w:bCs/>
          <w:rtl w:val="true"/>
        </w:rPr>
        <w:t>חסך זמן שיפוטי יקר</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במסגרת הסדר הטיעון הופנה הנאשם לשירות המבחן</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 xml:space="preserve">מתסקיר שירות המבחן עולה כי מדובר בנאשם בן </w:t>
      </w:r>
      <w:r>
        <w:rPr>
          <w:b/>
          <w:bCs/>
        </w:rPr>
        <w:t>36</w:t>
      </w:r>
      <w:r>
        <w:rPr>
          <w:b/>
          <w:bCs/>
          <w:rtl w:val="true"/>
        </w:rPr>
        <w:t xml:space="preserve">, </w:t>
      </w:r>
      <w:r>
        <w:rPr>
          <w:b/>
          <w:b/>
          <w:bCs/>
          <w:rtl w:val="true"/>
        </w:rPr>
        <w:t xml:space="preserve">נשוי ואב ל </w:t>
      </w:r>
      <w:r>
        <w:rPr>
          <w:b/>
          <w:b/>
          <w:bCs/>
          <w:rtl w:val="true"/>
        </w:rPr>
        <w:t>–</w:t>
      </w:r>
      <w:r>
        <w:rPr>
          <w:b/>
          <w:b/>
          <w:bCs/>
          <w:rtl w:val="true"/>
        </w:rPr>
        <w:t xml:space="preserve"> </w:t>
      </w:r>
      <w:r>
        <w:rPr>
          <w:b/>
          <w:bCs/>
        </w:rPr>
        <w:t>4</w:t>
      </w:r>
      <w:r>
        <w:rPr>
          <w:b/>
          <w:bCs/>
          <w:rtl w:val="true"/>
        </w:rPr>
        <w:t xml:space="preserve"> </w:t>
      </w:r>
      <w:r>
        <w:rPr>
          <w:b/>
          <w:b/>
          <w:bCs/>
          <w:rtl w:val="true"/>
        </w:rPr>
        <w:t>ילדים</w:t>
      </w:r>
      <w:r>
        <w:rPr>
          <w:b/>
          <w:bCs/>
          <w:rtl w:val="true"/>
        </w:rPr>
        <w:t xml:space="preserve">, </w:t>
      </w:r>
      <w:r>
        <w:rPr>
          <w:b/>
          <w:b/>
          <w:bCs/>
          <w:rtl w:val="true"/>
        </w:rPr>
        <w:t>עובד לפרנסתו</w:t>
      </w:r>
      <w:r>
        <w:rPr>
          <w:b/>
          <w:bCs/>
          <w:rtl w:val="true"/>
        </w:rPr>
        <w:t xml:space="preserve">, </w:t>
      </w:r>
      <w:r>
        <w:rPr>
          <w:b/>
          <w:b/>
          <w:bCs/>
          <w:rtl w:val="true"/>
        </w:rPr>
        <w:t>ללא עבר פלילי</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בנוגע לעבירות נטל אחריות על ביצוען</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 xml:space="preserve">לגבי הנשק </w:t>
      </w:r>
      <w:r>
        <w:rPr>
          <w:b/>
          <w:b/>
          <w:bCs/>
          <w:rtl w:val="true"/>
        </w:rPr>
        <w:t>–</w:t>
      </w:r>
      <w:r>
        <w:rPr>
          <w:b/>
          <w:b/>
          <w:bCs/>
          <w:rtl w:val="true"/>
        </w:rPr>
        <w:t xml:space="preserve"> סיפר כי חבר נתן לו את הנשק להסתיר אותו ובהתאם לכללי הכבוד הנהוגים בתרבות הקווקזית לא חש בנוח לסרב לבקשתו</w:t>
      </w:r>
      <w:r>
        <w:rPr>
          <w:b/>
          <w:bCs/>
          <w:rtl w:val="true"/>
        </w:rPr>
        <w:t xml:space="preserve">. </w:t>
      </w:r>
      <w:r>
        <w:rPr>
          <w:b/>
          <w:b/>
          <w:bCs/>
          <w:rtl w:val="true"/>
        </w:rPr>
        <w:t>לדבריו</w:t>
      </w:r>
      <w:r>
        <w:rPr>
          <w:b/>
          <w:bCs/>
          <w:rtl w:val="true"/>
        </w:rPr>
        <w:t xml:space="preserve">, </w:t>
      </w:r>
      <w:r>
        <w:rPr>
          <w:b/>
          <w:b/>
          <w:bCs/>
          <w:rtl w:val="true"/>
        </w:rPr>
        <w:t>שם את הנשק בארון ושכח מקיומו עד שנמצאו יחד עם הסמים</w:t>
      </w:r>
      <w:r>
        <w:rPr>
          <w:b/>
          <w:bCs/>
          <w:rtl w:val="true"/>
        </w:rPr>
        <w:t xml:space="preserve">. </w:t>
      </w:r>
      <w:r>
        <w:rPr>
          <w:b/>
          <w:b/>
          <w:bCs/>
          <w:rtl w:val="true"/>
        </w:rPr>
        <w:t xml:space="preserve">הנשק נמסר לו לפני כ </w:t>
      </w:r>
      <w:r>
        <w:rPr>
          <w:b/>
          <w:b/>
          <w:bCs/>
          <w:rtl w:val="true"/>
        </w:rPr>
        <w:t>–</w:t>
      </w:r>
      <w:r>
        <w:rPr>
          <w:b/>
          <w:b/>
          <w:bCs/>
          <w:rtl w:val="true"/>
        </w:rPr>
        <w:t xml:space="preserve"> </w:t>
      </w:r>
      <w:r>
        <w:rPr>
          <w:b/>
          <w:bCs/>
        </w:rPr>
        <w:t>9</w:t>
      </w:r>
      <w:r>
        <w:rPr>
          <w:b/>
          <w:bCs/>
          <w:rtl w:val="true"/>
        </w:rPr>
        <w:t xml:space="preserve"> </w:t>
      </w:r>
      <w:r>
        <w:rPr>
          <w:b/>
          <w:b/>
          <w:bCs/>
          <w:rtl w:val="true"/>
        </w:rPr>
        <w:t>שנים</w:t>
      </w:r>
      <w:r>
        <w:rPr>
          <w:b/>
          <w:bCs/>
          <w:rtl w:val="true"/>
        </w:rPr>
        <w:t xml:space="preserve">. </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שירות המבחן מתרשם מאדם שמתקשה לבחון חלקים מכשילים בהתנהגותו אך יחד עם זאת</w:t>
      </w:r>
      <w:r>
        <w:rPr>
          <w:b/>
          <w:bCs/>
          <w:rtl w:val="true"/>
        </w:rPr>
        <w:t xml:space="preserve">, </w:t>
      </w:r>
      <w:r>
        <w:rPr>
          <w:b/>
          <w:b/>
          <w:bCs/>
          <w:rtl w:val="true"/>
        </w:rPr>
        <w:t>אומר שירות המבחן כי מדובר באדם ללא עבר פלילי ועל כן חרף חומרת העבירה ממליץ להמנע מהטלת מאסר בפועל ומציע להטיל עליו מאסר בעבודות שירות ומאסר מותנה</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ב</w:t>
      </w:r>
      <w:r>
        <w:rPr>
          <w:b/>
          <w:bCs/>
          <w:rtl w:val="true"/>
        </w:rPr>
        <w:t>"</w:t>
      </w:r>
      <w:r>
        <w:rPr>
          <w:b/>
          <w:b/>
          <w:bCs/>
          <w:rtl w:val="true"/>
        </w:rPr>
        <w:t>כ המאשימה</w:t>
      </w:r>
      <w:r>
        <w:rPr>
          <w:b/>
          <w:bCs/>
          <w:rtl w:val="true"/>
        </w:rPr>
        <w:t xml:space="preserve">, </w:t>
      </w:r>
      <w:r>
        <w:rPr>
          <w:b/>
          <w:b/>
          <w:bCs/>
          <w:rtl w:val="true"/>
        </w:rPr>
        <w:t>בטיעונה לעונש</w:t>
      </w:r>
      <w:r>
        <w:rPr>
          <w:b/>
          <w:bCs/>
          <w:rtl w:val="true"/>
        </w:rPr>
        <w:t xml:space="preserve">, </w:t>
      </w:r>
      <w:r>
        <w:rPr>
          <w:b/>
          <w:b/>
          <w:bCs/>
          <w:rtl w:val="true"/>
        </w:rPr>
        <w:t>עמדה על חומרת העבירה והפנתה לפסיקה שבה חוזרים בתי המשפט פעם אחר פעם ומציינים כי יש להחמיר עם מבצעי העבירות בנשק</w:t>
      </w:r>
      <w:r>
        <w:rPr>
          <w:b/>
          <w:bCs/>
          <w:rtl w:val="true"/>
        </w:rPr>
        <w:t xml:space="preserve">. </w:t>
      </w:r>
      <w:r>
        <w:rPr>
          <w:b/>
          <w:b/>
          <w:bCs/>
          <w:rtl w:val="true"/>
        </w:rPr>
        <w:t xml:space="preserve">מבקשת להטיל על הנאשם מאסר בפועל בן </w:t>
      </w:r>
      <w:r>
        <w:rPr>
          <w:b/>
          <w:bCs/>
        </w:rPr>
        <w:t>12</w:t>
      </w:r>
      <w:r>
        <w:rPr>
          <w:b/>
          <w:bCs/>
          <w:rtl w:val="true"/>
        </w:rPr>
        <w:t xml:space="preserve"> </w:t>
      </w:r>
      <w:r>
        <w:rPr>
          <w:b/>
          <w:b/>
          <w:bCs/>
          <w:rtl w:val="true"/>
        </w:rPr>
        <w:t>חודשים ומאסר מותנה</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ב</w:t>
      </w:r>
      <w:r>
        <w:rPr>
          <w:b/>
          <w:bCs/>
          <w:rtl w:val="true"/>
        </w:rPr>
        <w:t>"</w:t>
      </w:r>
      <w:r>
        <w:rPr>
          <w:b/>
          <w:b/>
          <w:bCs/>
          <w:rtl w:val="true"/>
        </w:rPr>
        <w:t>כ הנאשם מבקש לקבל את המלצת שירות המבחן</w:t>
      </w:r>
      <w:r>
        <w:rPr>
          <w:b/>
          <w:bCs/>
          <w:rtl w:val="true"/>
        </w:rPr>
        <w:t xml:space="preserve">, </w:t>
      </w:r>
      <w:r>
        <w:rPr>
          <w:b/>
          <w:b/>
          <w:bCs/>
          <w:rtl w:val="true"/>
        </w:rPr>
        <w:t>וזאת נוכח הנסיבות המיוחדות שבהם נמצא הנשק בביתו של הנאשם וכן כי מדובר בנאשם ללא עבר פלילי</w:t>
      </w:r>
      <w:r>
        <w:rPr>
          <w:b/>
          <w:bCs/>
          <w:rtl w:val="true"/>
        </w:rPr>
        <w:t xml:space="preserve">. </w:t>
      </w:r>
      <w:r>
        <w:rPr>
          <w:b/>
          <w:b/>
          <w:bCs/>
          <w:rtl w:val="true"/>
        </w:rPr>
        <w:t xml:space="preserve">העבירה בוצעה לפני </w:t>
      </w:r>
      <w:r>
        <w:rPr>
          <w:b/>
          <w:bCs/>
        </w:rPr>
        <w:t>3</w:t>
      </w:r>
      <w:r>
        <w:rPr>
          <w:b/>
          <w:bCs/>
          <w:rtl w:val="true"/>
        </w:rPr>
        <w:t xml:space="preserve"> </w:t>
      </w:r>
      <w:r>
        <w:rPr>
          <w:b/>
          <w:b/>
          <w:bCs/>
          <w:rtl w:val="true"/>
        </w:rPr>
        <w:t>שנים כאשר הנשק שנמצא בביתו היה בביתו זמן רב מבלי שהנאשם עשה בו כל שימוש</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ב</w:t>
      </w:r>
      <w:r>
        <w:rPr>
          <w:b/>
          <w:bCs/>
          <w:rtl w:val="true"/>
        </w:rPr>
        <w:t>"</w:t>
      </w:r>
      <w:r>
        <w:rPr>
          <w:b/>
          <w:b/>
          <w:bCs/>
          <w:rtl w:val="true"/>
        </w:rPr>
        <w:t>כ הצדדים הציגו לעיוני פסקי דין</w:t>
      </w:r>
      <w:r>
        <w:rPr>
          <w:b/>
          <w:bCs/>
          <w:rtl w:val="true"/>
        </w:rPr>
        <w:t xml:space="preserve">, </w:t>
      </w:r>
      <w:r>
        <w:rPr>
          <w:b/>
          <w:b/>
          <w:bCs/>
          <w:rtl w:val="true"/>
        </w:rPr>
        <w:t>שבהם מחד גיסא נגזרו עונשי מאסר בפועל על מבצעי עבירות בנשק ומאידך גיסא התחשבו בית המשפט בנסיבות האישיות וחרף חומרת העבירה נמנעו מלהשית מאסר בפועל</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עבירות בנשק הן עבירות חמורות</w:t>
      </w:r>
      <w:r>
        <w:rPr>
          <w:b/>
          <w:bCs/>
          <w:rtl w:val="true"/>
        </w:rPr>
        <w:t xml:space="preserve">. </w:t>
      </w:r>
      <w:r>
        <w:rPr>
          <w:b/>
          <w:b/>
          <w:bCs/>
          <w:rtl w:val="true"/>
        </w:rPr>
        <w:t>בתי המשפט עמדו לא אחת על חשיבות הטלת עונשים כבדים ומרתיעים על מבצעי עבירות בנשק</w:t>
      </w:r>
      <w:r>
        <w:rPr>
          <w:b/>
          <w:bCs/>
          <w:rtl w:val="true"/>
        </w:rPr>
        <w:t xml:space="preserve">. </w:t>
      </w:r>
      <w:r>
        <w:rPr>
          <w:b/>
          <w:b/>
          <w:bCs/>
          <w:rtl w:val="true"/>
        </w:rPr>
        <w:t>ב</w:t>
      </w:r>
      <w:hyperlink r:id="rId4">
        <w:r>
          <w:rPr>
            <w:rStyle w:val="Hyperlink"/>
            <w:b/>
            <w:b/>
            <w:bCs/>
            <w:color w:val="0000FF"/>
            <w:u w:val="single"/>
            <w:rtl w:val="true"/>
          </w:rPr>
          <w:t>רע</w:t>
        </w:r>
        <w:r>
          <w:rPr>
            <w:rStyle w:val="Hyperlink"/>
            <w:b/>
            <w:bCs/>
            <w:color w:val="0000FF"/>
            <w:u w:val="single"/>
            <w:rtl w:val="true"/>
          </w:rPr>
          <w:t>"</w:t>
        </w:r>
        <w:r>
          <w:rPr>
            <w:rStyle w:val="Hyperlink"/>
            <w:b/>
            <w:b/>
            <w:bCs/>
            <w:color w:val="0000FF"/>
            <w:u w:val="single"/>
            <w:rtl w:val="true"/>
          </w:rPr>
          <w:t xml:space="preserve">פ </w:t>
        </w:r>
        <w:r>
          <w:rPr>
            <w:rStyle w:val="Hyperlink"/>
            <w:b/>
            <w:bCs/>
            <w:color w:val="0000FF"/>
            <w:u w:val="single"/>
          </w:rPr>
          <w:t>898/11</w:t>
        </w:r>
      </w:hyperlink>
      <w:r>
        <w:rPr>
          <w:b/>
          <w:bCs/>
          <w:rtl w:val="true"/>
        </w:rPr>
        <w:t xml:space="preserve"> </w:t>
      </w:r>
      <w:r>
        <w:rPr>
          <w:b/>
          <w:b/>
          <w:bCs/>
          <w:rtl w:val="true"/>
        </w:rPr>
        <w:t>אומר כב</w:t>
      </w:r>
      <w:r>
        <w:rPr>
          <w:b/>
          <w:bCs/>
          <w:rtl w:val="true"/>
        </w:rPr>
        <w:t xml:space="preserve">' </w:t>
      </w:r>
      <w:r>
        <w:rPr>
          <w:b/>
          <w:b/>
          <w:bCs/>
          <w:rtl w:val="true"/>
        </w:rPr>
        <w:t>השופט סלים ג</w:t>
      </w:r>
      <w:r>
        <w:rPr>
          <w:b/>
          <w:bCs/>
          <w:rtl w:val="true"/>
        </w:rPr>
        <w:t>'</w:t>
      </w:r>
      <w:r>
        <w:rPr>
          <w:b/>
          <w:b/>
          <w:bCs/>
          <w:rtl w:val="true"/>
        </w:rPr>
        <w:t>ובראן בבית המשפט העליון</w:t>
      </w:r>
      <w:r>
        <w:rPr>
          <w:b/>
          <w:bCs/>
          <w:rtl w:val="true"/>
        </w:rPr>
        <w:t>: "</w:t>
      </w:r>
      <w:r>
        <w:rPr>
          <w:i/>
          <w:i/>
          <w:iCs/>
          <w:rtl w:val="true"/>
        </w:rPr>
        <w:t>בית משפט זה עמד פעמים רבות על חומרתן של העבירות לכלי נשק ועל החובה להשית בעבירות אלה עונש חמור המשקף את חומרתן ואשר יש בו כדי להרתיע עבריינים בכוח מלבצע עבירות דומות</w:t>
      </w:r>
      <w:r>
        <w:rPr>
          <w:i/>
          <w:iCs/>
          <w:rtl w:val="true"/>
        </w:rPr>
        <w:t>"</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יחד עם זאת</w:t>
      </w:r>
      <w:r>
        <w:rPr>
          <w:b/>
          <w:bCs/>
          <w:rtl w:val="true"/>
        </w:rPr>
        <w:t xml:space="preserve">, </w:t>
      </w:r>
      <w:r>
        <w:rPr>
          <w:b/>
          <w:b/>
          <w:bCs/>
          <w:rtl w:val="true"/>
        </w:rPr>
        <w:t xml:space="preserve">מהנסיבות שפורטו בפני ובהן לקח הנאשם אחריות על מעשיו וכאשר מדובר בעבירה ואשר מדובר במקרה שבו הנשק נמצא לפני </w:t>
      </w:r>
      <w:r>
        <w:rPr>
          <w:b/>
          <w:bCs/>
        </w:rPr>
        <w:t>3</w:t>
      </w:r>
      <w:r>
        <w:rPr>
          <w:b/>
          <w:bCs/>
          <w:rtl w:val="true"/>
        </w:rPr>
        <w:t xml:space="preserve"> </w:t>
      </w:r>
      <w:r>
        <w:rPr>
          <w:b/>
          <w:b/>
          <w:bCs/>
          <w:rtl w:val="true"/>
        </w:rPr>
        <w:t>שנים בביתו של הנאשם אך בפועל כבר נמצא שם זמן רב</w:t>
      </w:r>
      <w:r>
        <w:rPr>
          <w:b/>
          <w:bCs/>
          <w:rtl w:val="true"/>
        </w:rPr>
        <w:t xml:space="preserve">, </w:t>
      </w:r>
      <w:r>
        <w:rPr>
          <w:b/>
          <w:b/>
          <w:bCs/>
          <w:rtl w:val="true"/>
        </w:rPr>
        <w:t>מבלי שהנאשם עשה בו כל שימוש ולטענתו שכח מקיומו וכאשר מדובר בנאשם ללא עבר פלילי</w:t>
      </w:r>
      <w:r>
        <w:rPr>
          <w:b/>
          <w:bCs/>
          <w:rtl w:val="true"/>
        </w:rPr>
        <w:t xml:space="preserve">, </w:t>
      </w:r>
      <w:r>
        <w:rPr>
          <w:b/>
          <w:b/>
          <w:bCs/>
          <w:rtl w:val="true"/>
        </w:rPr>
        <w:t xml:space="preserve">נשוי ואב ל </w:t>
      </w:r>
      <w:r>
        <w:rPr>
          <w:b/>
          <w:b/>
          <w:bCs/>
          <w:rtl w:val="true"/>
        </w:rPr>
        <w:t>–</w:t>
      </w:r>
      <w:r>
        <w:rPr>
          <w:b/>
          <w:b/>
          <w:bCs/>
          <w:rtl w:val="true"/>
        </w:rPr>
        <w:t xml:space="preserve"> </w:t>
      </w:r>
      <w:r>
        <w:rPr>
          <w:b/>
          <w:bCs/>
        </w:rPr>
        <w:t>4</w:t>
      </w:r>
      <w:r>
        <w:rPr>
          <w:b/>
          <w:bCs/>
          <w:rtl w:val="true"/>
        </w:rPr>
        <w:t xml:space="preserve"> </w:t>
      </w:r>
      <w:r>
        <w:rPr>
          <w:b/>
          <w:b/>
          <w:bCs/>
          <w:rtl w:val="true"/>
        </w:rPr>
        <w:t>ילדים</w:t>
      </w:r>
      <w:r>
        <w:rPr>
          <w:b/>
          <w:bCs/>
          <w:rtl w:val="true"/>
        </w:rPr>
        <w:t xml:space="preserve">, </w:t>
      </w:r>
      <w:r>
        <w:rPr>
          <w:b/>
          <w:b/>
          <w:bCs/>
          <w:rtl w:val="true"/>
        </w:rPr>
        <w:t>עובד לפרנסתו מצאתי כי יש מקום להסתפק בהטלת עונש מאסר לריצוי בעבודות שירות ומאסר מותנה</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 xml:space="preserve">אשר על כן אני גוזרת על הנאשם </w:t>
      </w:r>
      <w:r>
        <w:rPr>
          <w:b/>
          <w:bCs/>
        </w:rPr>
        <w:t>6</w:t>
      </w:r>
      <w:r>
        <w:rPr>
          <w:b/>
          <w:bCs/>
          <w:rtl w:val="true"/>
        </w:rPr>
        <w:t xml:space="preserve"> </w:t>
      </w:r>
      <w:r>
        <w:rPr>
          <w:b/>
          <w:b/>
          <w:bCs/>
          <w:rtl w:val="true"/>
        </w:rPr>
        <w:t>חודשי מאסר בפועל לביצוע בעבודות שירות</w:t>
      </w:r>
      <w:r>
        <w:rPr>
          <w:b/>
          <w:bCs/>
          <w:rtl w:val="true"/>
        </w:rPr>
        <w:t xml:space="preserve">. </w:t>
      </w:r>
      <w:r>
        <w:rPr>
          <w:b/>
          <w:b/>
          <w:bCs/>
          <w:rtl w:val="true"/>
        </w:rPr>
        <w:t>עבודות השירות יבוצעו בבית החייל בבאר</w:t>
      </w:r>
      <w:r>
        <w:rPr>
          <w:b/>
          <w:bCs/>
          <w:rtl w:val="true"/>
        </w:rPr>
        <w:t>-</w:t>
      </w:r>
      <w:r>
        <w:rPr>
          <w:b/>
          <w:b/>
          <w:bCs/>
          <w:rtl w:val="true"/>
        </w:rPr>
        <w:t>שבע בימים א</w:t>
      </w:r>
      <w:r>
        <w:rPr>
          <w:b/>
          <w:bCs/>
          <w:rtl w:val="true"/>
        </w:rPr>
        <w:t xml:space="preserve">' </w:t>
      </w:r>
      <w:r>
        <w:rPr>
          <w:b/>
          <w:b/>
          <w:bCs/>
          <w:rtl w:val="true"/>
        </w:rPr>
        <w:t>עד ה</w:t>
      </w:r>
      <w:r>
        <w:rPr>
          <w:b/>
          <w:bCs/>
          <w:rtl w:val="true"/>
        </w:rPr>
        <w:t xml:space="preserve">' </w:t>
      </w:r>
      <w:r>
        <w:rPr>
          <w:b/>
          <w:bCs/>
        </w:rPr>
        <w:t>8.5</w:t>
      </w:r>
      <w:r>
        <w:rPr>
          <w:b/>
          <w:bCs/>
          <w:rtl w:val="true"/>
        </w:rPr>
        <w:t xml:space="preserve"> </w:t>
      </w:r>
      <w:r>
        <w:rPr>
          <w:b/>
          <w:b/>
          <w:bCs/>
          <w:rtl w:val="true"/>
        </w:rPr>
        <w:t>שעות יומיות</w:t>
      </w:r>
      <w:r>
        <w:rPr>
          <w:b/>
          <w:bCs/>
          <w:rtl w:val="true"/>
        </w:rPr>
        <w:t xml:space="preserve">, </w:t>
      </w:r>
      <w:r>
        <w:rPr>
          <w:b/>
          <w:b/>
          <w:bCs/>
          <w:rtl w:val="true"/>
        </w:rPr>
        <w:t xml:space="preserve">מועד תחילת העבודה </w:t>
      </w:r>
      <w:r>
        <w:rPr>
          <w:b/>
          <w:bCs/>
        </w:rPr>
        <w:t>30.8.11</w:t>
      </w:r>
      <w:r>
        <w:rPr>
          <w:b/>
          <w:bCs/>
          <w:rtl w:val="true"/>
        </w:rPr>
        <w:t xml:space="preserve">. </w:t>
      </w:r>
      <w:r>
        <w:rPr>
          <w:b/>
          <w:b/>
          <w:bCs/>
          <w:rtl w:val="true"/>
        </w:rPr>
        <w:t xml:space="preserve">על הנאשם להתייצב בשעה </w:t>
      </w:r>
      <w:r>
        <w:rPr>
          <w:b/>
          <w:bCs/>
        </w:rPr>
        <w:t>08:00</w:t>
      </w:r>
      <w:r>
        <w:rPr>
          <w:b/>
          <w:bCs/>
          <w:rtl w:val="true"/>
        </w:rPr>
        <w:t xml:space="preserve"> </w:t>
      </w:r>
      <w:r>
        <w:rPr>
          <w:b/>
          <w:b/>
          <w:bCs/>
          <w:rtl w:val="true"/>
        </w:rPr>
        <w:t>במשרדי מפקדת מחוז דרום לתחילת ביצוע עבודות השירות</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 xml:space="preserve">כמו כן אני משיתה על הנאשם </w:t>
      </w:r>
      <w:r>
        <w:rPr>
          <w:b/>
          <w:bCs/>
        </w:rPr>
        <w:t>12</w:t>
      </w:r>
      <w:r>
        <w:rPr>
          <w:b/>
          <w:bCs/>
          <w:rtl w:val="true"/>
        </w:rPr>
        <w:t xml:space="preserve"> </w:t>
      </w:r>
      <w:r>
        <w:rPr>
          <w:b/>
          <w:b/>
          <w:bCs/>
          <w:rtl w:val="true"/>
        </w:rPr>
        <w:t xml:space="preserve">חודשי מאסר על תנאי והתנאי הוא שבמשך </w:t>
      </w:r>
      <w:r>
        <w:rPr>
          <w:b/>
          <w:bCs/>
        </w:rPr>
        <w:t>3</w:t>
      </w:r>
      <w:r>
        <w:rPr>
          <w:b/>
          <w:bCs/>
          <w:rtl w:val="true"/>
        </w:rPr>
        <w:t xml:space="preserve"> </w:t>
      </w:r>
      <w:r>
        <w:rPr>
          <w:b/>
          <w:b/>
          <w:bCs/>
          <w:rtl w:val="true"/>
        </w:rPr>
        <w:t>שנים מהיום לא יעבור עבירות בנשק</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 xml:space="preserve">אשר לעבירות הסמים </w:t>
      </w:r>
      <w:r>
        <w:rPr>
          <w:b/>
          <w:b/>
          <w:bCs/>
          <w:rtl w:val="true"/>
        </w:rPr>
        <w:t>–</w:t>
      </w:r>
      <w:r>
        <w:rPr>
          <w:b/>
          <w:b/>
          <w:bCs/>
          <w:rtl w:val="true"/>
        </w:rPr>
        <w:t xml:space="preserve"> אני משיתה על הנאשם מאסר על תנאי בן </w:t>
      </w:r>
      <w:r>
        <w:rPr>
          <w:b/>
          <w:bCs/>
        </w:rPr>
        <w:t>45</w:t>
      </w:r>
      <w:r>
        <w:rPr>
          <w:b/>
          <w:bCs/>
          <w:rtl w:val="true"/>
        </w:rPr>
        <w:t xml:space="preserve"> </w:t>
      </w:r>
      <w:r>
        <w:rPr>
          <w:b/>
          <w:b/>
          <w:bCs/>
          <w:rtl w:val="true"/>
        </w:rPr>
        <w:t xml:space="preserve">יום למשך </w:t>
      </w:r>
      <w:r>
        <w:rPr>
          <w:b/>
          <w:bCs/>
        </w:rPr>
        <w:t>3</w:t>
      </w:r>
      <w:r>
        <w:rPr>
          <w:b/>
          <w:bCs/>
          <w:rtl w:val="true"/>
        </w:rPr>
        <w:t xml:space="preserve"> </w:t>
      </w:r>
      <w:r>
        <w:rPr>
          <w:b/>
          <w:b/>
          <w:bCs/>
          <w:rtl w:val="true"/>
        </w:rPr>
        <w:t xml:space="preserve">שנים שלא יעבור עבירה בניגוד לסעיף </w:t>
      </w:r>
      <w:r>
        <w:rPr>
          <w:b/>
          <w:bCs/>
        </w:rPr>
        <w:t>7</w:t>
      </w:r>
      <w:r>
        <w:rPr>
          <w:b/>
          <w:bCs/>
          <w:rtl w:val="true"/>
        </w:rPr>
        <w:t xml:space="preserve"> (</w:t>
      </w:r>
      <w:r>
        <w:rPr>
          <w:b/>
          <w:b/>
          <w:bCs/>
          <w:rtl w:val="true"/>
        </w:rPr>
        <w:t>א</w:t>
      </w:r>
      <w:r>
        <w:rPr>
          <w:b/>
          <w:bCs/>
          <w:rtl w:val="true"/>
        </w:rPr>
        <w:t>) (</w:t>
      </w:r>
      <w:r>
        <w:rPr>
          <w:b/>
          <w:b/>
          <w:bCs/>
          <w:rtl w:val="true"/>
        </w:rPr>
        <w:t>ג</w:t>
      </w:r>
      <w:r>
        <w:rPr>
          <w:b/>
          <w:bCs/>
          <w:rtl w:val="true"/>
        </w:rPr>
        <w:t xml:space="preserve">) </w:t>
      </w:r>
      <w:r>
        <w:rPr>
          <w:b/>
          <w:b/>
          <w:bCs/>
          <w:rtl w:val="true"/>
        </w:rPr>
        <w:t>סיפא לפקודת הסמים</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עותק החלטה זו ישלח לממונה על עבודות שירות</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Cs/>
          <w:rtl w:val="true"/>
        </w:rPr>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הודעה זכות הערעור</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sz w:val="6"/>
          <w:szCs w:val="6"/>
        </w:rPr>
      </w:pPr>
      <w:r>
        <w:rPr>
          <w:sz w:val="6"/>
          <w:szCs w:val="6"/>
          <w:rtl w:val="true"/>
        </w:rPr>
        <w:t>&lt;</w:t>
      </w:r>
      <w:r>
        <w:rPr>
          <w:sz w:val="6"/>
          <w:szCs w:val="6"/>
        </w:rPr>
        <w:t>#3#</w:t>
      </w:r>
      <w:r>
        <w:rPr>
          <w:sz w:val="6"/>
          <w:szCs w:val="6"/>
          <w:rtl w:val="true"/>
        </w:rPr>
        <w:t>&gt;</w:t>
      </w:r>
    </w:p>
    <w:p>
      <w:pPr>
        <w:pStyle w:val="Normal"/>
        <w:ind w:end="0"/>
        <w:jc w:val="end"/>
        <w:rPr>
          <w:sz w:val="6"/>
          <w:szCs w:val="6"/>
        </w:rPr>
      </w:pPr>
      <w:r>
        <w:rPr>
          <w:sz w:val="6"/>
          <w:szCs w:val="6"/>
          <w:rtl w:val="true"/>
        </w:rPr>
      </w:r>
    </w:p>
    <w:p>
      <w:pPr>
        <w:pStyle w:val="Normal"/>
        <w:ind w:end="0"/>
        <w:jc w:val="center"/>
        <w:rPr>
          <w:b/>
          <w:bCs/>
          <w:color w:val="FFFFFF"/>
          <w:sz w:val="2"/>
          <w:szCs w:val="2"/>
        </w:rPr>
      </w:pPr>
      <w:r>
        <w:rPr>
          <w:b/>
          <w:bCs/>
          <w:color w:val="FFFFFF"/>
          <w:sz w:val="2"/>
          <w:szCs w:val="2"/>
          <w:rtl w:val="true"/>
        </w:rPr>
      </w:r>
    </w:p>
    <w:p>
      <w:pPr>
        <w:pStyle w:val="Normal"/>
        <w:ind w:end="0"/>
        <w:jc w:val="center"/>
        <w:rPr>
          <w:b/>
          <w:bCs/>
          <w:color w:val="FFFFFF"/>
          <w:sz w:val="2"/>
          <w:szCs w:val="2"/>
        </w:rPr>
      </w:pPr>
      <w:r>
        <w:rPr>
          <w:b/>
          <w:bCs/>
          <w:color w:val="FFFFFF"/>
          <w:sz w:val="2"/>
          <w:szCs w:val="2"/>
        </w:rPr>
        <w:t>5129371</w:t>
      </w:r>
    </w:p>
    <w:p>
      <w:pPr>
        <w:pStyle w:val="Normal"/>
        <w:keepNext w:val="true"/>
        <w:ind w:end="0"/>
        <w:jc w:val="start"/>
        <w:rPr>
          <w:b/>
          <w:bCs/>
          <w:color w:val="000000"/>
          <w:sz w:val="22"/>
          <w:szCs w:val="22"/>
        </w:rPr>
      </w:pPr>
      <w:r>
        <w:rPr>
          <w:b/>
          <w:bCs/>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דרורה בית אור </w:t>
      </w:r>
      <w:r>
        <w:rPr>
          <w:color w:val="000000"/>
          <w:sz w:val="22"/>
          <w:szCs w:val="22"/>
        </w:rPr>
        <w:t>54678313</w:t>
      </w:r>
    </w:p>
    <w:p>
      <w:pPr>
        <w:pStyle w:val="Normal"/>
        <w:ind w:end="0"/>
        <w:jc w:val="center"/>
        <w:rPr/>
      </w:pPr>
      <w:r>
        <w:rPr>
          <w:b/>
          <w:bCs/>
          <w:color w:val="FFFFFF"/>
          <w:sz w:val="2"/>
          <w:szCs w:val="2"/>
        </w:rPr>
        <w:t>54678313</w:t>
      </w:r>
      <w:r>
        <w:rPr>
          <w:b/>
          <w:b/>
          <w:bCs/>
          <w:rtl w:val="true"/>
        </w:rPr>
        <w:t>ניתנה והודעה היום א</w:t>
      </w:r>
      <w:r>
        <w:rPr>
          <w:b/>
          <w:bCs/>
          <w:rtl w:val="true"/>
        </w:rPr>
        <w:t xml:space="preserve">' </w:t>
      </w:r>
      <w:r>
        <w:rPr>
          <w:b/>
          <w:b/>
          <w:bCs/>
          <w:rtl w:val="true"/>
        </w:rPr>
        <w:t>תמוז תשע</w:t>
      </w:r>
      <w:r>
        <w:rPr>
          <w:b/>
          <w:bCs/>
          <w:rtl w:val="true"/>
        </w:rPr>
        <w:t>"</w:t>
      </w:r>
      <w:r>
        <w:rPr>
          <w:b/>
          <w:b/>
          <w:bCs/>
          <w:rtl w:val="true"/>
        </w:rPr>
        <w:t>א</w:t>
      </w:r>
      <w:r>
        <w:rPr>
          <w:b/>
          <w:bCs/>
          <w:rtl w:val="true"/>
        </w:rPr>
        <w:t xml:space="preserve">, </w:t>
      </w:r>
      <w:r>
        <w:rPr>
          <w:b/>
          <w:bCs/>
        </w:rPr>
        <w:t>03/07/2011</w:t>
      </w:r>
      <w:r>
        <w:rPr>
          <w:b/>
          <w:bCs/>
          <w:rtl w:val="true"/>
        </w:rPr>
        <w:t xml:space="preserve"> </w:t>
      </w:r>
      <w:r>
        <w:rPr>
          <w:b/>
          <w:b/>
          <w:bCs/>
          <w:rtl w:val="true"/>
        </w:rPr>
        <w:t>במעמד הנוכחים</w:t>
      </w:r>
      <w:r>
        <w:rPr>
          <w:b/>
          <w:bCs/>
          <w:rtl w:val="true"/>
        </w:rPr>
        <w:t xml:space="preserve">.   </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דרורה</w:t>
            </w:r>
            <w:r>
              <w:rPr>
                <w:b/>
                <w:b/>
                <w:bCs/>
                <w:rtl w:val="true"/>
              </w:rPr>
              <w:t xml:space="preserve"> </w:t>
            </w:r>
            <w:r>
              <w:rPr>
                <w:b/>
                <w:b/>
                <w:bCs/>
                <w:rtl w:val="true"/>
              </w:rPr>
              <w:t>בית אור</w:t>
            </w:r>
            <w:r>
              <w:rPr>
                <w:b/>
                <w:bCs/>
                <w:rtl w:val="true"/>
              </w:rPr>
              <w:t xml:space="preserve">, </w:t>
            </w:r>
            <w:r>
              <w:rPr>
                <w:b/>
                <w:b/>
                <w:bCs/>
                <w:rtl w:val="true"/>
              </w:rPr>
              <w:t>סגן נשיא</w:t>
            </w:r>
          </w:p>
        </w:tc>
      </w:tr>
    </w:tbl>
    <w:p>
      <w:pPr>
        <w:pStyle w:val="Normal"/>
        <w:ind w:end="0"/>
        <w:jc w:val="end"/>
        <w:rPr/>
      </w:pPr>
      <w:r>
        <w:rPr>
          <w:rtl w:val="true"/>
        </w:rPr>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לבנה</w:t>
      </w:r>
      <w:r>
        <w:rPr>
          <w:rFonts w:ascii="Arial" w:hAnsi="Arial" w:eastAsia="Arial" w:cs="Arial"/>
          <w:sz w:val="28"/>
          <w:sz w:val="28"/>
          <w:szCs w:val="28"/>
          <w:rtl w:val="true"/>
        </w:rPr>
        <w:t xml:space="preserve"> </w:t>
      </w:r>
      <w:r>
        <w:rPr>
          <w:rFonts w:ascii="Arial" w:hAnsi="Arial" w:cs="FrankRuehl"/>
          <w:sz w:val="28"/>
          <w:sz w:val="28"/>
          <w:szCs w:val="28"/>
          <w:rtl w:val="true"/>
        </w:rPr>
        <w:t>טלגאוקר</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5">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ind w:end="0"/>
        <w:jc w:val="center"/>
        <w:rPr>
          <w:color w:val="0000FF"/>
          <w:u w:val="single"/>
        </w:rPr>
      </w:pPr>
      <w:r>
        <w:rPr>
          <w:color w:val="0000FF"/>
          <w:u w:val="single"/>
          <w:rtl w:val="true"/>
        </w:rPr>
      </w:r>
    </w:p>
    <w:sectPr>
      <w:headerReference w:type="default" r:id="rId6"/>
      <w:footerReference w:type="default" r:id="rId7"/>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3735-09</w:t>
    </w:r>
    <w:r>
      <w:rPr>
        <w:color w:val="000000"/>
        <w:sz w:val="22"/>
        <w:szCs w:val="22"/>
        <w:rtl w:val="true"/>
      </w:rPr>
      <w:tab/>
      <w:t xml:space="preserve"> </w:t>
    </w:r>
    <w:r>
      <w:rPr>
        <w:color w:val="000000"/>
        <w:sz w:val="22"/>
        <w:sz w:val="22"/>
        <w:szCs w:val="22"/>
        <w:rtl w:val="true"/>
      </w:rPr>
      <w:t>מדינת ישראל פמ</w:t>
    </w:r>
    <w:r>
      <w:rPr>
        <w:color w:val="000000"/>
        <w:sz w:val="22"/>
        <w:szCs w:val="22"/>
        <w:rtl w:val="true"/>
      </w:rPr>
      <w:t>"</w:t>
    </w:r>
    <w:r>
      <w:rPr>
        <w:color w:val="000000"/>
        <w:sz w:val="22"/>
        <w:sz w:val="22"/>
        <w:szCs w:val="22"/>
        <w:rtl w:val="true"/>
      </w:rPr>
      <w:t>ד נ</w:t>
    </w:r>
    <w:r>
      <w:rPr>
        <w:color w:val="000000"/>
        <w:sz w:val="22"/>
        <w:szCs w:val="22"/>
        <w:rtl w:val="true"/>
      </w:rPr>
      <w:t xml:space="preserve">' </w:t>
    </w:r>
    <w:r>
      <w:rPr>
        <w:color w:val="000000"/>
        <w:sz w:val="22"/>
        <w:sz w:val="22"/>
        <w:szCs w:val="22"/>
        <w:rtl w:val="true"/>
      </w:rPr>
      <w:t>בכטיאר אשירוב</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073_002.htm" TargetMode="External"/><Relationship Id="rId3" Type="http://schemas.openxmlformats.org/officeDocument/2006/relationships/hyperlink" Target="http://www.nevo.co.il/law_html/law01/P170_001.htm" TargetMode="External"/><Relationship Id="rId4" Type="http://schemas.openxmlformats.org/officeDocument/2006/relationships/hyperlink" Target="http://www.nevo.co.il/links/psika/?link=&#1512;&#1506;&#1508;%20898/11" TargetMode="External"/><Relationship Id="rId5" Type="http://schemas.openxmlformats.org/officeDocument/2006/relationships/hyperlink" Target="http://www.nevo.co.il/advertisements/nevo-100.doc"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2011-07-04T07:04:00Z</dcterms:created>
  <dc:creator> </dc:creator>
  <dc:description/>
  <cp:keywords/>
  <dc:language>en-IL</dc:language>
  <cp:lastModifiedBy>hofit</cp:lastModifiedBy>
  <dcterms:modified xsi:type="dcterms:W3CDTF">2011-07-04T07:04:00Z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 פמ"ד</vt:lpwstr>
  </property>
  <property fmtid="{D5CDD505-2E9C-101B-9397-08002B2CF9AE}" pid="3" name="APPELLEE">
    <vt:lpwstr>בכטיאר אשירוב</vt:lpwstr>
  </property>
  <property fmtid="{D5CDD505-2E9C-101B-9397-08002B2CF9AE}" pid="4" name="CITY">
    <vt:lpwstr>ב"ש</vt:lpwstr>
  </property>
  <property fmtid="{D5CDD505-2E9C-101B-9397-08002B2CF9AE}" pid="5" name="DATE">
    <vt:lpwstr>20110703</vt:lpwstr>
  </property>
  <property fmtid="{D5CDD505-2E9C-101B-9397-08002B2CF9AE}" pid="6" name="ISABSTRACT">
    <vt:lpwstr>Y</vt:lpwstr>
  </property>
  <property fmtid="{D5CDD505-2E9C-101B-9397-08002B2CF9AE}" pid="7" name="JUDGE">
    <vt:lpwstr>דרורה בית אור</vt:lpwstr>
  </property>
  <property fmtid="{D5CDD505-2E9C-101B-9397-08002B2CF9AE}" pid="8" name="LAWYER">
    <vt:lpwstr>נסאר מוסטפא ס.צ;המתמחה זוהר אזרואל</vt:lpwstr>
  </property>
  <property fmtid="{D5CDD505-2E9C-101B-9397-08002B2CF9AE}" pid="9" name="NEWPARTA">
    <vt:lpwstr>3735</vt:lpwstr>
  </property>
  <property fmtid="{D5CDD505-2E9C-101B-9397-08002B2CF9AE}" pid="10" name="NEWPARTB">
    <vt:lpwstr/>
  </property>
  <property fmtid="{D5CDD505-2E9C-101B-9397-08002B2CF9AE}" pid="11" name="NEWPARTC">
    <vt:lpwstr>09</vt:lpwstr>
  </property>
  <property fmtid="{D5CDD505-2E9C-101B-9397-08002B2CF9AE}" pid="12" name="NEWPROC">
    <vt:lpwstr>תפ</vt:lpwstr>
  </property>
  <property fmtid="{D5CDD505-2E9C-101B-9397-08002B2CF9AE}" pid="13" name="PROCNUM">
    <vt:lpwstr>3735</vt:lpwstr>
  </property>
  <property fmtid="{D5CDD505-2E9C-101B-9397-08002B2CF9AE}" pid="14" name="PROCYEAR">
    <vt:lpwstr>09</vt:lpwstr>
  </property>
  <property fmtid="{D5CDD505-2E9C-101B-9397-08002B2CF9AE}" pid="15" name="PSAKDIN">
    <vt:lpwstr>גזר-דין</vt:lpwstr>
  </property>
  <property fmtid="{D5CDD505-2E9C-101B-9397-08002B2CF9AE}" pid="16" name="TYPE">
    <vt:lpwstr>3</vt:lpwstr>
  </property>
  <property fmtid="{D5CDD505-2E9C-101B-9397-08002B2CF9AE}" pid="17" name="TYPE_ABS_DATE">
    <vt:lpwstr>380020110703</vt:lpwstr>
  </property>
  <property fmtid="{D5CDD505-2E9C-101B-9397-08002B2CF9AE}" pid="18" name="TYPE_N_DATE">
    <vt:lpwstr>38020110703</vt:lpwstr>
  </property>
  <property fmtid="{D5CDD505-2E9C-101B-9397-08002B2CF9AE}" pid="19" name="WORDNUMPAGES">
    <vt:lpwstr>3</vt:lpwstr>
  </property>
</Properties>
</file>