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50"/>
        <w:gridCol w:w="2555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9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37387-04-18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מועתז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דחל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אללה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8"/>
                <w:szCs w:val="8"/>
              </w:rPr>
            </w:pPr>
            <w:r>
              <w:rPr>
                <w:rFonts w:cs="FrankRuehl"/>
                <w:sz w:val="8"/>
                <w:szCs w:val="8"/>
                <w:rtl w:val="true"/>
              </w:rPr>
            </w:r>
          </w:p>
        </w:tc>
        <w:tc>
          <w:tcPr>
            <w:tcW w:w="255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חנה מרים לומפ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גבאי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מועתז דחל אללה ט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1511424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עאטף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פרחאת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2"/>
          <w:szCs w:val="12"/>
        </w:rPr>
      </w:pPr>
      <w:r>
        <w:rPr>
          <w:rFonts w:cs="FrankRuehl" w:ascii="FrankRuehl" w:hAnsi="FrankRuehl"/>
          <w:sz w:val="12"/>
          <w:szCs w:val="1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-52"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סעיף</w:t>
      </w:r>
      <w:r>
        <w:rPr>
          <w:rFonts w:ascii="David" w:hAnsi="David"/>
          <w:rtl w:val="true"/>
        </w:rPr>
        <w:t xml:space="preserve"> </w:t>
      </w:r>
      <w:hyperlink r:id="rId12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סעיף</w:t>
      </w:r>
      <w:r>
        <w:rPr>
          <w:rFonts w:ascii="David" w:hAnsi="David"/>
          <w:rtl w:val="true"/>
        </w:rPr>
        <w:t xml:space="preserve"> </w:t>
      </w:r>
      <w:hyperlink r:id="rId13">
        <w:r>
          <w:rPr>
            <w:rStyle w:val="Hyperlink"/>
            <w:rFonts w:cs="David" w:ascii="David" w:hAnsi="David"/>
            <w:color w:val="0000FF"/>
            <w:u w:val="single"/>
          </w:rPr>
          <w:t>448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2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rtl w:val="true"/>
        </w:rPr>
        <w:t>הטיעונים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עיסאוויה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פברואר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וידויים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הדסה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הצופים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החולים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פברואר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בעיסוויה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התאספו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בעיסוויה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זכוכית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לבקבוקים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כפתילה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משסיימו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התמקמו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התנפצו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והתלקחו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בנכס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שבועיים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האחרים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בשכונת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עיסוויה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גמלה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ישלמו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יירכשו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שרכשו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עיסוויה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זכוכית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כפתילה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משסיימו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התמקמו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התנפצו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והתלקחו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בנכס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שירות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מבחן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שירות המבחן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רווק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עיסאוויה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סטודנט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באוניברסיטת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כקופאי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האקדמאיים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גילאים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במחלקת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מטפלת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סיעודית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ומנהלת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המוסדות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רופאה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במקצועה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השכלה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משולבים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אקדמאיים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עידוד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המתפקדים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התעסוקתי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תומכת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וחיובית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לביקורים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בהתפרעויות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אידיאולוגיות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השכונה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מתיקיהם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החיצונית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הדסה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שיסיע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לטרקטורון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השתמשו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להסתבך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מילוליות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וקוגניטיביות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לתפקוד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נורמטיבי </w:t>
      </w:r>
      <w:r>
        <w:rPr>
          <w:rFonts w:ascii="David" w:hAnsi="David"/>
          <w:rtl w:val="true"/>
        </w:rPr>
        <w:t>במישורי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אקדמאיים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תעסוקתי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ולסביבתו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העדיפויות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המאופיין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בתוכנית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האקדמאיים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דימויו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לסביבה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הפוגענית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נראה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מהיגררות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ילדותיות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וחווית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אלמנטים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וימנעו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שוקל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הבנתו</w:t>
      </w:r>
      <w:r>
        <w:rPr>
          <w:rFonts w:ascii="David" w:hAnsi="David"/>
          <w:rtl w:val="true"/>
        </w:rPr>
        <w:t xml:space="preserve"> ש</w:t>
      </w:r>
      <w:r>
        <w:rPr>
          <w:rFonts w:ascii="David" w:hAnsi="David"/>
          <w:rtl w:val="true"/>
        </w:rPr>
        <w:t>הסביבה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ניכר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קורבנית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המתפקדים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קורבנית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וטשטוש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ביקורתית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והשלכותיהן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מתפקודו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החיובי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התעסוקתי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והלימודי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שאיפותיו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קצין המבחן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והבעייתיים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חיצוני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ביקורתי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קצין המבחן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והרתעתו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הצדדים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המרכזיים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ורכושו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ascii="David" w:hAnsi="David"/>
          <w:rtl w:val="true"/>
        </w:rPr>
        <w:t xml:space="preserve"> ובשיתוף 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ועיקרי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והאחרים </w:t>
      </w:r>
      <w:r>
        <w:rPr>
          <w:rFonts w:ascii="David" w:hAnsi="David"/>
          <w:rtl w:val="true"/>
        </w:rPr>
        <w:t>יכ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ים 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שבועיים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ב״כ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אידיאולוגי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אומנם אישר כי </w:t>
      </w:r>
      <w:r>
        <w:rPr>
          <w:rFonts w:ascii="David" w:hAnsi="David"/>
          <w:rtl w:val="true"/>
        </w:rPr>
        <w:t>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מופיעה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במפורש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ההיגיון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שבית המשפט יקבע מתחם עונש 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5-3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שלצ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בטענותיו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למזער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ולהפיל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לא חלק על כך שהנאשם בן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היא סברה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לשקול נתון זה לפיו הנאשם הגיע ממשפחה נורמטיבית כנסיבה לחומרא שכן מתוך האפשרויות החיוביות שניתנו לנאשם והמשפחה בה הוא גדל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הדרך בה בחר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טענות הנאשם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המרכזיים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שותפו של הנאשם </w:t>
      </w:r>
      <w:r>
        <w:rPr>
          <w:rFonts w:ascii="David" w:hAnsi="David"/>
          <w:rtl w:val="true"/>
        </w:rPr>
        <w:t>איוב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7942-05-18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 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והתנפצו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שהתלקח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השותפים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ספונטני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מפגשם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7942-05-18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שמדובר בעניינו בשני 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לדבריו חלקו בביצוע העבירה נמוך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 שיש להתחשב בטעמי א</w:t>
      </w:r>
      <w:r>
        <w:rPr>
          <w:rFonts w:ascii="David" w:hAnsi="David"/>
          <w:rtl w:val="true"/>
        </w:rPr>
        <w:t>חידות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משותפיו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הינדי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מותב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פרידמן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פלדמן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מבוגר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משותפיו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לשותפיו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בעת ביצוע העבירות היו </w:t>
      </w:r>
      <w:r>
        <w:rPr>
          <w:rFonts w:ascii="David" w:hAnsi="David"/>
          <w:rtl w:val="true"/>
        </w:rPr>
        <w:t>תלויים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ועומדים </w:t>
      </w:r>
      <w:r>
        <w:rPr>
          <w:rFonts w:ascii="David" w:hAnsi="David"/>
          <w:rtl w:val="true"/>
        </w:rPr>
        <w:t>נגדם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שהופעלו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בהשוואה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 הראשון משותף לנאשם ו</w:t>
      </w:r>
      <w:r>
        <w:rPr>
          <w:rFonts w:ascii="David" w:hAnsi="David"/>
          <w:rtl w:val="true"/>
        </w:rPr>
        <w:t>להנדי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באישום זה יוחסה להינדי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בניגוד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שבאותו האישום לא יוחסה לו עבירה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ישיבת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שהנאשם הודה ללא צורך בשמיעת 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הרשויות עוד </w:t>
      </w:r>
      <w:r>
        <w:rPr>
          <w:rFonts w:ascii="David" w:hAnsi="David"/>
          <w:rtl w:val="true"/>
        </w:rPr>
        <w:t>משלב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 מהינדי שלא עשה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לגבי הנאשם שירות המבחן התרשם שההליך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מעצרו וייחס משפחתו לביצוע העבירות הציב לו גבולות ברורים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בסטודנט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בלימודיו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האקדמאיים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התבייש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אקדמאי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בהנהלת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ולאמא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מנהלת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בשירותי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רופאה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אקדמאים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בהשוואה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37213-04-18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ציין כי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לקטין היה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</w:t>
      </w:r>
      <w:r>
        <w:rPr>
          <w:rFonts w:ascii="David" w:hAnsi="David"/>
          <w:rtl w:val="true"/>
        </w:rPr>
        <w:t xml:space="preserve"> והוא נדון לעונש של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21.3.18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בטחוני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ascii="David" w:hAnsi="David"/>
          <w:rtl w:val="true"/>
        </w:rPr>
        <w:t>אביו של הנאשם העיד לעניין העונש וסיפר על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שיתף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למד חשבונאות וכיום עובד באגודת עיתונאים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תיאר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ילדיו למדו באוניברסיטה מקצועות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חשבונאות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מחשבים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מזכירות רפואית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אשתו בוגרת אוניברסיטה ומנהלת בית אבות 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למד חשבונאות ובמקביל עבד בתחנת דלק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סיפר שכעס מאוד על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והכעס נמשך עד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שמציאות כזו שמישהו מבני המשפחה נכנס לכלא אינה מתאימה למשפחתו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לאף אחד מילדיו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ידע לאיזה ילדים הנאשם התחבר ולו היה רואה לא היה נותן לבנו להסתובב איתם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374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הנורמטיביות של המשפחה היא ערובה לכך שהנאשם לא ישוב לבצע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ובעבר עמדה כזו של האב הייתה יכולה להביא לסיום התיק ללא 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דובר בקטין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יש לתת משקל רב לנסיבה 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בלימודיו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שאביו העיד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הוסיף הנאשם וביקש סליחה מאביו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מהפרקליטות ומבית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הדגיש שלמד לקח ממעשיו ולא ישוב לבצע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הביע צער על מעשיו והביע תקווה שלא יושת עליו עונש כבד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והכרעה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,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</w:t>
      </w:r>
      <w:r>
        <w:rPr>
          <w:rtl w:val="true"/>
        </w:rPr>
        <w:t>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עת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cs="Times New Roman"/>
          <w:sz w:val="14"/>
          <w:szCs w:val="14"/>
          <w:rtl w:val="true"/>
        </w:rPr>
        <w:t xml:space="preserve">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ומניעת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Arial" w:hAnsi="Arial" w:cs="Arial"/>
          <w:color w:val="222222"/>
        </w:rPr>
      </w:pP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הבהיר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לעניינינו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רובינשטיין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262/06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6.7.2006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280" w:after="280"/>
        <w:ind w:start="1082" w:end="993"/>
        <w:jc w:val="both"/>
        <w:rPr>
          <w:rFonts w:ascii="Arial" w:hAnsi="Arial" w:cs="Arial"/>
          <w:color w:val="222222"/>
        </w:rPr>
      </w:pPr>
      <w:r>
        <w:rPr>
          <w:rFonts w:ascii="David" w:hAnsi="David"/>
          <w:rtl w:val="true"/>
        </w:rPr>
        <w:t>״</w:t>
      </w:r>
      <w:r>
        <w:rPr>
          <w:rFonts w:ascii="David" w:hAnsi="David"/>
          <w:b/>
          <w:b/>
          <w:bCs/>
          <w:rtl w:val="true"/>
        </w:rPr>
        <w:t>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שעניינן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בקבוקי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תוצאותיו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בקבוק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עלולות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קשות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וראוי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איפוא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ייצא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הקול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בכגון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תהא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בטחון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יכול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הפקר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ונתון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בכביש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החולים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באוניברסיטה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בתחנת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הדלק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המקומות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כיוונו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המערער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וחבריו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מעשיהם</w:t>
      </w:r>
      <w:r>
        <w:rPr>
          <w:rFonts w:cs="David" w:ascii="David" w:hAnsi="David"/>
          <w:b/>
          <w:bCs/>
          <w:rtl w:val="true"/>
        </w:rPr>
        <w:t>..."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David" w:hAnsi="David"/>
          <w:spacing w:val="10"/>
          <w:rtl w:val="true"/>
        </w:rPr>
        <w:t>כך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גם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דבריו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של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כב׳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השופט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ד</w:t>
      </w:r>
      <w:r>
        <w:rPr>
          <w:rFonts w:cs="David" w:ascii="David" w:hAnsi="David"/>
          <w:spacing w:val="10"/>
          <w:rtl w:val="true"/>
        </w:rPr>
        <w:t xml:space="preserve">' </w:t>
      </w:r>
      <w:r>
        <w:rPr>
          <w:rFonts w:ascii="David" w:hAnsi="David"/>
          <w:spacing w:val="10"/>
          <w:rtl w:val="true"/>
        </w:rPr>
        <w:t>מינץ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3511/17</w:t>
        </w:r>
      </w:hyperlink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נ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אבו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ריא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rtl w:val="true"/>
        </w:rPr>
        <w:t>(</w:t>
      </w:r>
      <w:r>
        <w:rPr>
          <w:rFonts w:cs="David" w:ascii="David" w:hAnsi="David"/>
          <w:color w:val="000000"/>
          <w:spacing w:val="10"/>
        </w:rPr>
        <w:t>17.9.17</w:t>
      </w:r>
      <w:r>
        <w:rPr>
          <w:rFonts w:cs="David" w:ascii="David" w:hAnsi="David"/>
          <w:color w:val="000000"/>
          <w:spacing w:val="10"/>
          <w:rtl w:val="true"/>
        </w:rPr>
        <w:t xml:space="preserve">) </w:t>
      </w:r>
      <w:r>
        <w:rPr>
          <w:rFonts w:ascii="David" w:hAnsi="David"/>
          <w:spacing w:val="10"/>
          <w:rtl w:val="true"/>
        </w:rPr>
        <w:t>יפים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לעניינינו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אומנם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שם מדובר בעבירת הצתה וכאן עסקינן בעבירות ניסיון הצתה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אך הסיכון הטמון במעשים דומה</w:t>
      </w:r>
      <w:r>
        <w:rPr>
          <w:rFonts w:cs="David" w:ascii="David" w:hAnsi="David"/>
          <w:spacing w:val="10"/>
          <w:rtl w:val="true"/>
        </w:rPr>
        <w:t xml:space="preserve">: </w:t>
      </w:r>
    </w:p>
    <w:p>
      <w:pPr>
        <w:pStyle w:val="Normal"/>
        <w:spacing w:lineRule="auto" w:line="360"/>
        <w:ind w:start="1083" w:end="992"/>
        <w:jc w:val="both"/>
        <w:rPr/>
      </w:pPr>
      <w:r>
        <w:rPr>
          <w:rFonts w:cs="David" w:ascii="David" w:hAnsi="David"/>
          <w:b/>
          <w:bCs/>
          <w:rtl w:val="true"/>
        </w:rPr>
        <w:t>"...</w:t>
      </w:r>
      <w:r>
        <w:rPr>
          <w:rFonts w:ascii="David" w:hAnsi="David"/>
          <w:b/>
          <w:b/>
          <w:bCs/>
          <w:rtl w:val="true"/>
        </w:rPr>
        <w:t>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נזכיר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ההצתה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לבדה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לפי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סעיף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448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א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מניע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לאומני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הנלווה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נושאת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בצידה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עשרה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פעם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חומרתה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ההצתה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מתייחסת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לרכוש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בלבד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ההרסני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להשית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מבצעי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באופן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שיבטא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שיקולי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הגמול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והרתעת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הרבים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1414/15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15.4.2015</w:t>
      </w:r>
      <w:r>
        <w:rPr>
          <w:rFonts w:cs="David" w:ascii="David" w:hAnsi="David"/>
          <w:b/>
          <w:bCs/>
          <w:rtl w:val="true"/>
        </w:rPr>
        <w:t>)[</w:t>
      </w:r>
      <w:r>
        <w:rPr>
          <w:rFonts w:ascii="David" w:hAnsi="David"/>
          <w:b/>
          <w:b/>
          <w:bCs/>
          <w:rtl w:val="true"/>
        </w:rPr>
        <w:t>פורסם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בנבו</w:t>
      </w:r>
      <w:r>
        <w:rPr>
          <w:rFonts w:cs="David" w:ascii="David" w:hAnsi="David"/>
          <w:b/>
          <w:bCs/>
          <w:rtl w:val="true"/>
        </w:rPr>
        <w:t xml:space="preserve">] ). </w:t>
      </w:r>
      <w:r>
        <w:rPr>
          <w:rFonts w:ascii="David" w:hAnsi="David"/>
          <w:b/>
          <w:b/>
          <w:bCs/>
          <w:rtl w:val="true"/>
        </w:rPr>
        <w:t>יפים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השופט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עמית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4311/12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8.11.2012</w:t>
      </w:r>
      <w:r>
        <w:rPr>
          <w:rFonts w:cs="David" w:ascii="David" w:hAnsi="David"/>
          <w:b/>
          <w:bCs/>
          <w:rtl w:val="true"/>
        </w:rPr>
        <w:t>)[</w:t>
      </w:r>
      <w:r>
        <w:rPr>
          <w:rFonts w:ascii="David" w:hAnsi="David"/>
          <w:b/>
          <w:b/>
          <w:bCs/>
          <w:rtl w:val="true"/>
        </w:rPr>
        <w:t>פורסם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בנבו</w:t>
      </w:r>
      <w:r>
        <w:rPr>
          <w:rFonts w:cs="David" w:ascii="David" w:hAnsi="David"/>
          <w:b/>
          <w:bCs/>
          <w:rtl w:val="true"/>
        </w:rPr>
        <w:t>] :</w:t>
      </w:r>
    </w:p>
    <w:p>
      <w:pPr>
        <w:pStyle w:val="Normal"/>
        <w:spacing w:lineRule="auto" w:line="360" w:before="280" w:after="280"/>
        <w:ind w:start="1082" w:end="993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ונאמר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חומרתה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ההצתה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שתחילתה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ידועה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ואחריתה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ישורנה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שכן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מנהגה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להתפשט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מבלי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יכולת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שליטה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תוך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גרימת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נזקים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[...]. </w:t>
      </w:r>
      <w:r>
        <w:rPr>
          <w:rFonts w:ascii="David" w:hAnsi="David"/>
          <w:b/>
          <w:b/>
          <w:bCs/>
          <w:rtl w:val="true"/>
        </w:rPr>
        <w:t>הצתה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נתפסת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הסכנה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האינהרנטית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הטבועה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העברייני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להטיל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ופחד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ולפגוע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בתחושת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הביטחון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[...].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קבע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המחוקק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המרבי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במקרים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לפגוע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בנכס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ציבורי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start="1083" w:end="992"/>
        <w:jc w:val="both"/>
        <w:rPr/>
      </w:pPr>
      <w:r>
        <w:rPr>
          <w:rFonts w:ascii="David" w:hAnsi="David"/>
          <w:b/>
          <w:b/>
          <w:bCs/>
          <w:rtl w:val="true"/>
        </w:rPr>
        <w:t>זאת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שעניינן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ייצורם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והשלכתם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בקבוקי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יותר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והמגמה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המסתמנת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האחרונות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5300/16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נגאר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8.1.2017</w:t>
      </w:r>
      <w:r>
        <w:rPr>
          <w:rFonts w:cs="David" w:ascii="David" w:hAnsi="David"/>
          <w:b/>
          <w:bCs/>
          <w:rtl w:val="true"/>
        </w:rPr>
        <w:t>)[</w:t>
      </w:r>
      <w:r>
        <w:rPr>
          <w:rFonts w:ascii="David" w:hAnsi="David"/>
          <w:b/>
          <w:b/>
          <w:bCs/>
          <w:rtl w:val="true"/>
        </w:rPr>
        <w:t>פורסם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בנבו</w:t>
      </w:r>
      <w:r>
        <w:rPr>
          <w:rFonts w:cs="David" w:ascii="David" w:hAnsi="David"/>
          <w:b/>
          <w:bCs/>
          <w:rtl w:val="true"/>
        </w:rPr>
        <w:t xml:space="preserve">] ; 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262/06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6.7.2006</w:t>
      </w:r>
      <w:r>
        <w:rPr>
          <w:rFonts w:cs="David" w:ascii="David" w:hAnsi="David"/>
          <w:b/>
          <w:bCs/>
          <w:rtl w:val="true"/>
        </w:rPr>
        <w:t>)[</w:t>
      </w:r>
      <w:r>
        <w:rPr>
          <w:rFonts w:ascii="David" w:hAnsi="David"/>
          <w:b/>
          <w:b/>
          <w:bCs/>
          <w:rtl w:val="true"/>
        </w:rPr>
        <w:t>פורסם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בנבו</w:t>
      </w:r>
      <w:r>
        <w:rPr>
          <w:rFonts w:cs="David" w:ascii="David" w:hAnsi="David"/>
          <w:b/>
          <w:bCs/>
          <w:rtl w:val="true"/>
        </w:rPr>
        <w:t>] ; (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3702/14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28.9.2014</w:t>
      </w:r>
      <w:r>
        <w:rPr>
          <w:rFonts w:cs="David" w:ascii="David" w:hAnsi="David"/>
          <w:b/>
          <w:bCs/>
          <w:rtl w:val="true"/>
        </w:rPr>
        <w:t>)[</w:t>
      </w:r>
      <w:r>
        <w:rPr>
          <w:rFonts w:ascii="David" w:hAnsi="David"/>
          <w:b/>
          <w:b/>
          <w:bCs/>
          <w:rtl w:val="true"/>
        </w:rPr>
        <w:t>פורסם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בנבו</w:t>
      </w:r>
      <w:r>
        <w:rPr>
          <w:rFonts w:cs="David" w:ascii="David" w:hAnsi="David"/>
          <w:b/>
          <w:bCs/>
          <w:rtl w:val="true"/>
        </w:rPr>
        <w:t>] )".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pacing w:val="10"/>
          <w:sz w:val="12"/>
          <w:szCs w:val="12"/>
        </w:rPr>
      </w:pPr>
      <w:r>
        <w:rPr>
          <w:rFonts w:cs="David" w:ascii="David" w:hAnsi="David"/>
          <w:b/>
          <w:bCs/>
          <w:color w:val="000000"/>
          <w:spacing w:val="10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אידיאולוגי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בבקבוקים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ובבדים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מהשלבים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בשותפות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היוזם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גמלה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נקודתי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חוזרים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color w:val="222222"/>
        </w:rPr>
      </w:pPr>
      <w:r>
        <w:rPr>
          <w:rFonts w:ascii="David" w:hAnsi="David"/>
          <w:color w:val="222222"/>
          <w:rtl w:val="true"/>
        </w:rPr>
        <w:t>בחינת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מדיניות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הענישה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הנוהגת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מלמדת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המשפט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נוהגים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להטיל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במקרים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דומים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עונשי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בפועל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לריצוי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מאחורי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סורג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ובריח</w:t>
      </w:r>
      <w:r>
        <w:rPr>
          <w:rFonts w:cs="David" w:ascii="David" w:hAnsi="David"/>
          <w:color w:val="222222"/>
          <w:rtl w:val="true"/>
        </w:rPr>
        <w:t>:</w:t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David" w:hAnsi="David" w:cs="David"/>
          <w:color w:val="222222"/>
          <w:sz w:val="12"/>
          <w:szCs w:val="12"/>
        </w:rPr>
      </w:pPr>
      <w:r>
        <w:rPr>
          <w:rFonts w:cs="David" w:ascii="David" w:hAnsi="David"/>
          <w:color w:val="222222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David" w:hAnsi="David" w:cs="David"/>
          <w:color w:val="222222"/>
        </w:rPr>
      </w:pPr>
      <w:r>
        <w:rPr>
          <w:rFonts w:ascii="David" w:hAnsi="David"/>
          <w:color w:val="222222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ת״פ  </w:t>
        </w:r>
        <w:r>
          <w:rPr>
            <w:rStyle w:val="Hyperlink"/>
            <w:rFonts w:cs="David" w:ascii="David" w:hAnsi="David"/>
            <w:color w:val="0000FF"/>
            <w:u w:val="single"/>
          </w:rPr>
          <w:t>42595-06-15</w:t>
        </w:r>
      </w:hyperlink>
      <w:r>
        <w:rPr>
          <w:rFonts w:cs="David" w:ascii="David" w:hAnsi="David"/>
          <w:b/>
          <w:bCs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מדינת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ישראל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נ׳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עליאן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  <w:rtl w:val="true"/>
        </w:rPr>
        <w:t>(</w:t>
      </w:r>
      <w:r>
        <w:rPr>
          <w:rFonts w:cs="David" w:ascii="David" w:hAnsi="David"/>
          <w:color w:val="222222"/>
        </w:rPr>
        <w:t>16.06.16</w:t>
      </w:r>
      <w:r>
        <w:rPr>
          <w:rFonts w:cs="David" w:ascii="David" w:hAnsi="David"/>
          <w:color w:val="222222"/>
          <w:rtl w:val="true"/>
        </w:rPr>
        <w:t xml:space="preserve">) </w:t>
      </w:r>
      <w:r>
        <w:rPr>
          <w:rFonts w:ascii="David" w:hAnsi="David"/>
          <w:color w:val="222222"/>
          <w:rtl w:val="true"/>
        </w:rPr>
        <w:t>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2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אשר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פי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האישום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השישי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הורשע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בעבירות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ניסיון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הצתה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וסיוע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להצתה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וזאת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בגין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יידויי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בקבוקי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תבערה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לעבר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כנסת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בגבעה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הצרפתית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וידויי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בקבוקי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תבערה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בצוותא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חדא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לעבר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תחנת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דלק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  <w:rtl w:val="true"/>
        </w:rPr>
        <w:t>(</w:t>
      </w:r>
      <w:r>
        <w:rPr>
          <w:rFonts w:ascii="David" w:hAnsi="David"/>
          <w:color w:val="222222"/>
          <w:rtl w:val="true"/>
        </w:rPr>
        <w:t>יצוין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באירוע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הנוגע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לתחנת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הדלק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יידה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2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אבנים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ואילו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חבריו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ידו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בפועל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בקבוקי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התבערה</w:t>
      </w:r>
      <w:r>
        <w:rPr>
          <w:rFonts w:cs="David" w:ascii="David" w:hAnsi="David"/>
          <w:color w:val="222222"/>
          <w:rtl w:val="true"/>
        </w:rPr>
        <w:t xml:space="preserve">). </w:t>
      </w:r>
      <w:r>
        <w:rPr>
          <w:rFonts w:ascii="David" w:hAnsi="David"/>
          <w:color w:val="222222"/>
          <w:rtl w:val="true"/>
        </w:rPr>
        <w:t>בית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המשפט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המחוזי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בירושלים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העמיד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מתחם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העונש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ההולם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12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ועד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36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התסקיר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בעניינו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זה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היה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חיובי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הוא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צבר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לחובתו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הרשעה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קודמת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אחת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בעבירות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ביטחוניות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והוא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נדון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בסופו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יום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</w:t>
      </w:r>
      <w:r>
        <w:rPr>
          <w:rFonts w:cs="David" w:ascii="David" w:hAnsi="David"/>
          <w:color w:val="222222"/>
          <w:rtl w:val="true"/>
        </w:rPr>
        <w:t>-</w:t>
      </w:r>
      <w:r>
        <w:rPr>
          <w:rFonts w:cs="David" w:ascii="David" w:hAnsi="David"/>
          <w:color w:val="222222"/>
        </w:rPr>
        <w:t>44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שכן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הורשע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בעבירות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פקודת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הטרור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ובהשתתפות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בהתפרעות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בית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משפט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העליון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בגדרי</w:t>
      </w:r>
      <w:r>
        <w:rPr>
          <w:rFonts w:ascii="David" w:hAnsi="David"/>
          <w:color w:val="222222"/>
          <w:rtl w:val="true"/>
        </w:rPr>
        <w:t xml:space="preserve">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6558/16</w:t>
        </w:r>
      </w:hyperlink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עליאן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נ</w:t>
      </w:r>
      <w:r>
        <w:rPr>
          <w:rFonts w:cs="David" w:ascii="David" w:hAnsi="David"/>
          <w:b/>
          <w:bCs/>
          <w:color w:val="222222"/>
          <w:rtl w:val="true"/>
        </w:rPr>
        <w:t xml:space="preserve">' </w:t>
      </w:r>
      <w:r>
        <w:rPr>
          <w:rFonts w:ascii="David" w:hAnsi="David"/>
          <w:b/>
          <w:b/>
          <w:bCs/>
          <w:color w:val="222222"/>
          <w:rtl w:val="true"/>
        </w:rPr>
        <w:t>מדינת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ישראל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  <w:rtl w:val="true"/>
        </w:rPr>
        <w:t>(</w:t>
      </w:r>
      <w:r>
        <w:rPr>
          <w:rFonts w:cs="David" w:ascii="David" w:hAnsi="David"/>
          <w:color w:val="222222"/>
        </w:rPr>
        <w:t>22.2.17</w:t>
      </w:r>
      <w:r>
        <w:rPr>
          <w:rFonts w:cs="David" w:ascii="David" w:hAnsi="David"/>
          <w:color w:val="222222"/>
          <w:rtl w:val="true"/>
        </w:rPr>
        <w:t xml:space="preserve">) </w:t>
      </w:r>
      <w:r>
        <w:rPr>
          <w:rFonts w:ascii="David" w:hAnsi="David"/>
          <w:color w:val="222222"/>
          <w:rtl w:val="true"/>
        </w:rPr>
        <w:t>הפחית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שישה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מעונשו</w:t>
      </w:r>
      <w:r>
        <w:rPr>
          <w:rFonts w:cs="David" w:ascii="David" w:hAnsi="David"/>
          <w:color w:val="222222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David" w:hAnsi="David" w:cs="David"/>
          <w:color w:val="222222"/>
          <w:sz w:val="12"/>
          <w:szCs w:val="12"/>
        </w:rPr>
      </w:pPr>
      <w:r>
        <w:rPr>
          <w:rFonts w:cs="David" w:ascii="David" w:hAnsi="David"/>
          <w:color w:val="222222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David" w:hAnsi="David" w:cs="David"/>
          <w:color w:val="222222"/>
        </w:rPr>
      </w:pPr>
      <w:r>
        <w:rPr>
          <w:rFonts w:ascii="David" w:hAnsi="David"/>
          <w:color w:val="222222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ת״פ </w:t>
        </w:r>
        <w:r>
          <w:rPr>
            <w:rStyle w:val="Hyperlink"/>
            <w:rFonts w:cs="David" w:ascii="David" w:hAnsi="David"/>
            <w:color w:val="0000FF"/>
            <w:u w:val="single"/>
          </w:rPr>
          <w:t>12325-09-15</w:t>
        </w:r>
      </w:hyperlink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מדינת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ישראל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נ׳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rtl w:val="true"/>
        </w:rPr>
        <w:t>טולידנו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  <w:rtl w:val="true"/>
        </w:rPr>
        <w:t>(</w:t>
      </w:r>
      <w:r>
        <w:rPr>
          <w:rFonts w:cs="David" w:ascii="David" w:hAnsi="David"/>
          <w:color w:val="222222"/>
        </w:rPr>
        <w:t>28.03.16</w:t>
      </w:r>
      <w:r>
        <w:rPr>
          <w:rFonts w:cs="David" w:ascii="David" w:hAnsi="David"/>
          <w:color w:val="222222"/>
          <w:rtl w:val="true"/>
        </w:rPr>
        <w:t xml:space="preserve">) </w:t>
      </w:r>
      <w:r>
        <w:rPr>
          <w:rFonts w:ascii="David" w:hAnsi="David"/>
          <w:color w:val="222222"/>
          <w:rtl w:val="true"/>
        </w:rPr>
        <w:t>הורשע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ושיבוש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וזאת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בגין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rtl w:val="true"/>
        </w:rPr>
        <w:t>ייצור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והשלכתם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להדלקתו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והשלכתו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כמו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כן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rtl w:val="true"/>
        </w:rPr>
        <w:t>ייצרו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שמילאו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זכוכית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והכניסו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הדליקו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בהשלכתם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בית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המשפט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המחוזי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בחיפה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העמיד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מתחם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העונש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ההולם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12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ועד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30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לבסוף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נגזרו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20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בפועל</w:t>
      </w:r>
      <w:r>
        <w:rPr>
          <w:rFonts w:cs="David" w:ascii="David" w:hAnsi="David"/>
          <w:color w:val="2222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David" w:hAnsi="David" w:cs="David"/>
          <w:color w:val="222222"/>
          <w:sz w:val="12"/>
          <w:szCs w:val="12"/>
        </w:rPr>
      </w:pPr>
      <w:r>
        <w:rPr>
          <w:rFonts w:cs="David" w:ascii="David" w:hAnsi="David"/>
          <w:color w:val="222222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color w:val="222222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40011-04-14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מדינת</w:t>
      </w:r>
      <w:r>
        <w:rPr>
          <w:rFonts w:ascii="David" w:hAnsi="David"/>
          <w:b/>
          <w:b/>
          <w:bCs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ישראל</w:t>
      </w:r>
      <w:r>
        <w:rPr>
          <w:rFonts w:ascii="David" w:hAnsi="David"/>
          <w:b/>
          <w:b/>
          <w:bCs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נ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shd w:fill="FFFFFF" w:val="clear"/>
          <w:rtl w:val="true"/>
        </w:rPr>
        <w:t>עביד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ואח</w:t>
      </w:r>
      <w:r>
        <w:rPr>
          <w:rFonts w:cs="David" w:ascii="David" w:hAnsi="David"/>
          <w:b/>
          <w:bCs/>
          <w:shd w:fill="FFFFFF" w:val="clear"/>
          <w:rtl w:val="true"/>
        </w:rPr>
        <w:t>'</w:t>
      </w:r>
      <w:r>
        <w:rPr>
          <w:rFonts w:cs="David" w:ascii="David" w:hAnsi="David"/>
          <w:shd w:fill="FFFFFF" w:val="clear"/>
          <w:rtl w:val="true"/>
        </w:rPr>
        <w:t xml:space="preserve"> (</w:t>
      </w:r>
      <w:r>
        <w:rPr>
          <w:rFonts w:ascii="David" w:hAnsi="David"/>
          <w:shd w:fill="FFFFFF" w:val="clear"/>
          <w:rtl w:val="true"/>
        </w:rPr>
        <w:t>ניתן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ביום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shd w:fill="FFFFFF" w:val="clear"/>
        </w:rPr>
        <w:t>21.9.2015</w:t>
      </w:r>
      <w:r>
        <w:rPr>
          <w:rFonts w:cs="David" w:ascii="David" w:hAnsi="David"/>
          <w:shd w:fill="FFFFFF" w:val="clear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  <w:lang w:eastAsia="he-IL"/>
        </w:rPr>
        <w:t>הורשעו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הודאתם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בכך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שקשרו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קשר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ליידות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בקבוקי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תבערה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לעבר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כנסת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בשכונת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הגבעה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הצרפתית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1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רכשו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בנזין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בתחנת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דלק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והלכו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לגבעה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נפגשו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4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ייצר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בקבוק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תבערה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אחד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נשאו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בקבוקי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התבערה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שייצרו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מהגבעה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ועד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לשכונת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הגבעה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הצרפתית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וכאשר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זיהו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כנסת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החליטו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להציתו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2,1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lang w:eastAsia="he-IL"/>
        </w:rPr>
        <w:t>4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הציתו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בקבוקי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התבערה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שנשאו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כשפניהם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מכוסים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ויידו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אותם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ממרחק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lang w:eastAsia="he-IL"/>
        </w:rPr>
        <w:t>5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לעבר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חלונות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הכנסת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במטרה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להצית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הכנסת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אחד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מהבקבוקים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התלקח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והצית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חלון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הכנסת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ושני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בקבוקי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תבערה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נוספים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התלקחו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ופגעו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בקיר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הכנסת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בירושלים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העמיד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מתחם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ההולם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ועד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50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לבסוף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נגזרו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עונשים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הנעים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40-24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חודשי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בהתאמה</w:t>
      </w:r>
      <w:r>
        <w:rPr>
          <w:rFonts w:cs="David" w:ascii="David" w:hAnsi="David"/>
          <w:rtl w:val="true"/>
          <w:lang w:eastAsia="he-IL"/>
        </w:rPr>
        <w:t>.</w:t>
      </w:r>
      <w:r>
        <w:rPr>
          <w:rFonts w:cs="David" w:ascii="David" w:hAnsi="David"/>
          <w:shd w:fill="FFFFFF" w:val="clear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David" w:hAnsi="David" w:cs="David"/>
          <w:shd w:fill="FFFFFF" w:val="clear"/>
        </w:rPr>
      </w:pP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8684-06-16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15.2.17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שבלילה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9.10.15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10.10.15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בסכנין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קיבוץ </w:t>
      </w:r>
      <w:r>
        <w:rPr>
          <w:rFonts w:ascii="David" w:hAnsi="David"/>
          <w:rtl w:val="true"/>
        </w:rPr>
        <w:t>אשבל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ונושאים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הקיבוץ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01:00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התמקמו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צמחיה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הדליקו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לסכנין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התלקחו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האוהל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חדרו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לשריפת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ושריפתם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כיסא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פלסטיק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ושטיחים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שהתלקחו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מסביב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לאוהל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color w:val="0000FF"/>
            <w:u w:val="single"/>
          </w:rPr>
          <w:t>3511/17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17.9.17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David" w:hAnsi="David" w:cs="David"/>
          <w:sz w:val="12"/>
          <w:szCs w:val="12"/>
          <w:shd w:fill="FFFFFF" w:val="clear"/>
        </w:rPr>
      </w:pPr>
      <w:r>
        <w:rPr>
          <w:rFonts w:cs="David" w:ascii="David" w:hAnsi="David"/>
          <w:sz w:val="12"/>
          <w:szCs w:val="12"/>
          <w:shd w:fill="FFFFFF" w:val="clear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David" w:hAnsi="David" w:cs="David"/>
          <w:color w:val="222222"/>
        </w:rPr>
      </w:pPr>
      <w:r>
        <w:rPr>
          <w:rFonts w:ascii="David" w:hAnsi="David"/>
          <w:shd w:fill="FFFFFF" w:val="clear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47694-08-11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יהושוע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סופר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28.7.13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shd w:fill="FFFFFF" w:val="clear"/>
          <w:rtl w:val="true"/>
        </w:rPr>
        <w:t>הורשע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הנאשם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על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פי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הודעתו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בכך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שהכין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בקבוק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תבערה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מבקבוק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זכוכית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המכיל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בנזין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בשעות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הערב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נסע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הנאשם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ביחד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עם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אדם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נוסף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לעבר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בית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בו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מתגוררת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משפחה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ממוצא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ערבי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הנאשם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הצית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את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הבקבוק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והשליך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אותו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לכיוון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גדר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הבית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הבקבוק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התפוצץ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והצית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חלק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מברזנט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שעטף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את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הגדר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בית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המשפט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המחוזי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בבאר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שבע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קבע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מתחם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עונש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הולם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הנע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בין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color w:val="222222"/>
        </w:rPr>
        <w:t>12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בפועל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ועד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36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בפועל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וגזר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12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בפועל</w:t>
      </w:r>
      <w:r>
        <w:rPr>
          <w:rFonts w:cs="David" w:ascii="David" w:hAnsi="David"/>
          <w:color w:val="2222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David" w:hAnsi="David" w:cs="David"/>
          <w:color w:val="222222"/>
          <w:sz w:val="12"/>
          <w:szCs w:val="12"/>
        </w:rPr>
      </w:pPr>
      <w:r>
        <w:rPr>
          <w:rFonts w:cs="David" w:ascii="David" w:hAnsi="David"/>
          <w:color w:val="222222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Arial" w:hAnsi="Arial" w:cs="Arial"/>
          <w:color w:val="222222"/>
        </w:rPr>
      </w:pPr>
      <w:r>
        <w:rPr>
          <w:rFonts w:cs="Times New Roman"/>
          <w:color w:val="222222"/>
          <w:sz w:val="14"/>
          <w:szCs w:val="14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לאחר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ששקלתי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הערכים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החברתיים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שנפגעו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כתוצאה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ממעשי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מדיניות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הענישה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הנוהגת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הנסיבות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הקשורות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בעבירה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אני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סבורה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מתחם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העונש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ההולם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בנסיבות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המקרה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דנן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18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</w:t>
      </w:r>
      <w:r>
        <w:rPr>
          <w:rFonts w:cs="David" w:ascii="David" w:hAnsi="David"/>
          <w:color w:val="222222"/>
          <w:rtl w:val="true"/>
        </w:rPr>
        <w:t>-</w:t>
      </w:r>
      <w:r>
        <w:rPr>
          <w:rFonts w:cs="David" w:ascii="David" w:hAnsi="David"/>
          <w:color w:val="222222"/>
        </w:rPr>
        <w:t>36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בפועל</w:t>
      </w:r>
      <w:r>
        <w:rPr>
          <w:rFonts w:cs="David" w:ascii="David" w:hAnsi="David"/>
          <w:color w:val="2222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  <w:rtl w:val="true"/>
        </w:rPr>
      </w:r>
    </w:p>
    <w:p>
      <w:pPr>
        <w:pStyle w:val="Normal"/>
        <w:spacing w:lineRule="auto" w:line="360" w:before="0" w:after="160"/>
        <w:ind w:start="-142" w:end="0"/>
        <w:contextualSpacing/>
        <w:jc w:val="both"/>
        <w:rPr>
          <w:rFonts w:ascii="Arial" w:hAnsi="Arial" w:cs="Arial"/>
          <w:color w:val="222222"/>
        </w:rPr>
      </w:pPr>
      <w:r>
        <w:rPr>
          <w:rFonts w:ascii="David" w:hAnsi="David"/>
          <w:b/>
          <w:b/>
          <w:bCs/>
          <w:color w:val="222222"/>
          <w:u w:val="single"/>
          <w:rtl w:val="true"/>
        </w:rPr>
        <w:t>העונש</w:t>
      </w:r>
      <w:r>
        <w:rPr>
          <w:rFonts w:ascii="David" w:hAnsi="David"/>
          <w:b/>
          <w:b/>
          <w:bCs/>
          <w:color w:val="222222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222222"/>
          <w:u w:val="single"/>
          <w:rtl w:val="true"/>
        </w:rPr>
        <w:t>המתאים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color w:val="222222"/>
        </w:rPr>
      </w:pPr>
      <w:r>
        <w:rPr>
          <w:rFonts w:ascii="David" w:hAnsi="David"/>
          <w:color w:val="222222"/>
          <w:rtl w:val="true"/>
        </w:rPr>
        <w:t>בגזירת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העונש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המתאים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שקלתי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לקולא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היות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בחור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צעיר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כבן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21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סטודנט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לראיית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חשבון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לקח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 xml:space="preserve">לפניי </w:t>
      </w:r>
      <w:r>
        <w:rPr>
          <w:rFonts w:ascii="David" w:hAnsi="David"/>
          <w:color w:val="222222"/>
          <w:rtl w:val="true"/>
        </w:rPr>
        <w:t>אחריות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 xml:space="preserve">מלאה </w:t>
      </w:r>
      <w:r>
        <w:rPr>
          <w:rFonts w:ascii="David" w:hAnsi="David"/>
          <w:color w:val="222222"/>
          <w:rtl w:val="true"/>
        </w:rPr>
        <w:t>למעשיו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האחריות החלקית המצוינת בתסקיר שירות המבחן נוגעת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בין היתר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לנסיבות שנמחקו מכתב האישום המתוקן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 xml:space="preserve">הנאשם </w:t>
      </w:r>
      <w:r>
        <w:rPr>
          <w:rFonts w:ascii="David" w:hAnsi="David"/>
          <w:color w:val="222222"/>
          <w:rtl w:val="true"/>
        </w:rPr>
        <w:t>הביע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לפני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חרטה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מעשיו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ורצון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לנהל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אורח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חיים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נורמטיבי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שחרורו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הודה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בעובדות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כתב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האישום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וחסך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זמן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שיפוטי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יקר</w:t>
      </w:r>
      <w:r>
        <w:rPr>
          <w:rFonts w:cs="David" w:ascii="David" w:hAnsi="David"/>
          <w:color w:val="222222"/>
          <w:rtl w:val="true"/>
        </w:rPr>
        <w:t>.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הוא שיתף פעולה עם הרשויות עוד משלב החקירה</w:t>
      </w:r>
      <w:r>
        <w:rPr>
          <w:rFonts w:cs="David" w:ascii="David" w:hAnsi="David"/>
          <w:color w:val="222222"/>
          <w:rtl w:val="true"/>
        </w:rPr>
        <w:t>.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שקלתי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נסיבות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חייו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cs="David" w:ascii="David" w:hAnsi="David"/>
          <w:color w:val="222222"/>
          <w:rtl w:val="true"/>
        </w:rPr>
        <w:t>.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גדל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במשפחה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נורמטיבית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ובשל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מעשיו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אביו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ביקרו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במעצר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מיום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שנעצר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משפחתו שומרת חוק ומגנה את המעשה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כפי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</w:t>
      </w:r>
      <w:r>
        <w:rPr>
          <w:rFonts w:ascii="David" w:hAnsi="David"/>
          <w:color w:val="222222"/>
          <w:rtl w:val="true"/>
        </w:rPr>
        <w:t>עולה מדברי אביו ומ</w:t>
      </w:r>
      <w:r>
        <w:rPr>
          <w:rFonts w:ascii="David" w:hAnsi="David"/>
          <w:color w:val="222222"/>
          <w:rtl w:val="true"/>
        </w:rPr>
        <w:t>תסקיר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שירות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המבחן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כן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שקלתי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חלוף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הזמן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ממועד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ביצוע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העבירות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כמו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התחשבתי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בכך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שוהה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במעצר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וידוע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תנאי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מעצר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קשים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מתנאי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במיוחד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שעסקינן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במי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שמוגדר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כעצור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ביטחוני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עוד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שקלתי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העובדה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נעדר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עבר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פלילי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היותו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18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וחצי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על גבול הקטינות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בעת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ביצוע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העבירות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עוד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עולה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מתסקיר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שירות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המבחן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ההליך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</w:t>
      </w:r>
      <w:r>
        <w:rPr>
          <w:rFonts w:ascii="David" w:hAnsi="David"/>
          <w:color w:val="222222"/>
          <w:rtl w:val="true"/>
        </w:rPr>
        <w:t>פלילי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מעצרו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הממושך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וחווית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האשמה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והבושה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שחווה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מול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הוריו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מהווים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גורם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מרתיע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ומציב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גבולות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עבורו</w:t>
      </w:r>
      <w:r>
        <w:rPr>
          <w:rFonts w:cs="David" w:ascii="David" w:hAnsi="David"/>
          <w:color w:val="222222"/>
          <w:rtl w:val="true"/>
        </w:rPr>
        <w:t>.</w:t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Arial" w:hAnsi="Arial" w:cs="Arial"/>
          <w:color w:val="222222"/>
          <w:sz w:val="12"/>
          <w:szCs w:val="12"/>
        </w:rPr>
      </w:pPr>
      <w:r>
        <w:rPr>
          <w:rFonts w:cs="Arial" w:ascii="Arial" w:hAnsi="Arial"/>
          <w:color w:val="222222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Arial" w:hAnsi="Arial" w:cs="Arial"/>
          <w:color w:val="222222"/>
        </w:rPr>
      </w:pPr>
      <w:r>
        <w:rPr>
          <w:rFonts w:ascii="David" w:hAnsi="David"/>
          <w:color w:val="222222"/>
          <w:rtl w:val="true"/>
        </w:rPr>
        <w:t>לחובת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b/>
          <w:b/>
          <w:bCs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שקלתי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העובדה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שנטל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אחריות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חלקית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מעשיו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לפני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שירות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המבחן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והשליך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האחריות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מעשיו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לשותפיו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לעבירה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ולסביבה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התגורר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עוד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שקלתי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האמור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בתסקיר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בדבר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הצורך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בהרתעתו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כמפורט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בסיפא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לתסקיר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שירות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המבחן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המלמד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שיש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לתת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דגש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בעניינו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הצורך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בהרתעת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היחיד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והגנה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הציבור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מפניו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במיוחד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כאשר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יוחסו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שני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אירועים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שונים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מנגד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התחשבתי בכך שמדובר בבן למשפחה נורמטיבית המגנה את המעשים והפיקוח עליו יתהדק עם שחרורו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כך שמקובלים עלי דברי סנגורו כי הסיכוי שיבצע עבירות לא גבוה משום הצבת גבולות מצד משפחתו כעת יותר ברורה ועל כן אין צורך לתת דגש משמעותי להרתעת היחיד בנדון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כמו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כן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בעבירות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בהן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עסקינן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שהן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נפוצות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מאוד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בירושלים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יש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ליתן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דגש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גם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הרתעת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הרבים</w:t>
      </w:r>
      <w:r>
        <w:rPr>
          <w:rFonts w:cs="David" w:ascii="David" w:hAnsi="David"/>
          <w:color w:val="222222"/>
          <w:rtl w:val="true"/>
        </w:rPr>
        <w:t>.</w:t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Arial" w:hAnsi="Arial" w:cs="Arial"/>
          <w:color w:val="222222"/>
          <w:sz w:val="12"/>
          <w:szCs w:val="12"/>
        </w:rPr>
      </w:pPr>
      <w:r>
        <w:rPr>
          <w:rFonts w:cs="Arial" w:ascii="Arial" w:hAnsi="Arial"/>
          <w:color w:val="222222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rtl w:val="true"/>
        </w:rPr>
        <w:t>אשר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לשיקולי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אחידות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בענישה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יפים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הדברים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שנאמרו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מפי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בית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המשפט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העליון</w:t>
      </w:r>
      <w:r>
        <w:rPr>
          <w:rFonts w:cs="Palatino Linotype" w:ascii="Palatino Linotype" w:hAnsi="Palatino Linotype"/>
          <w:rtl w:val="true"/>
        </w:rPr>
        <w:t xml:space="preserve">, </w:t>
      </w:r>
      <w:r>
        <w:rPr>
          <w:rFonts w:ascii="Palatino Linotype" w:hAnsi="Palatino Linotype" w:cs="Palatino Linotype"/>
          <w:rtl w:val="true"/>
        </w:rPr>
        <w:t>כפי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שיפורט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להן</w:t>
      </w:r>
      <w:r>
        <w:rPr>
          <w:rFonts w:cs="Palatino Linotype" w:ascii="Palatino Linotype" w:hAnsi="Palatino Linotype"/>
          <w:rtl w:val="true"/>
        </w:rPr>
        <w:t>: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Palatino Linotype" w:hAnsi="Palatino Linotype" w:cs="Palatino Linotype"/>
          <w:sz w:val="12"/>
          <w:szCs w:val="12"/>
        </w:rPr>
      </w:pPr>
      <w:r>
        <w:rPr>
          <w:rFonts w:cs="Palatino Linotype" w:ascii="Palatino Linotype" w:hAnsi="Palatino Linotype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cs="Palatino Linotype" w:ascii="Palatino Linotype" w:hAnsi="Palatino Linotype"/>
          <w:b/>
          <w:bCs/>
          <w:rtl w:val="true"/>
        </w:rPr>
        <w:t>"</w:t>
      </w:r>
      <w:r>
        <w:rPr>
          <w:rFonts w:ascii="Palatino Linotype" w:hAnsi="Palatino Linotype" w:cs="Palatino Linotype"/>
          <w:b/>
          <w:b/>
          <w:bCs/>
          <w:rtl w:val="true"/>
        </w:rPr>
        <w:t>אין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חולק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כי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במסגרת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עקרון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אחידות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הענישה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על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בית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המשפט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להתחשב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בעונשים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שהוטלו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על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אחרים</w:t>
      </w:r>
      <w:r>
        <w:rPr>
          <w:rFonts w:cs="Palatino Linotype" w:ascii="Palatino Linotype" w:hAnsi="Palatino Linotype"/>
          <w:b/>
          <w:bCs/>
          <w:rtl w:val="true"/>
        </w:rPr>
        <w:t xml:space="preserve">, </w:t>
      </w:r>
      <w:r>
        <w:rPr>
          <w:rFonts w:ascii="Palatino Linotype" w:hAnsi="Palatino Linotype" w:cs="Palatino Linotype"/>
          <w:b/>
          <w:b/>
          <w:bCs/>
          <w:rtl w:val="true"/>
        </w:rPr>
        <w:t>הגם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שהפסיקה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הדגישה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כי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עקרון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זה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אינו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חזות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הכל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ויכול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שיסוג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מפני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עקרונות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וערכים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אחרים</w:t>
      </w:r>
      <w:r>
        <w:rPr>
          <w:rFonts w:cs="Palatino Linotype" w:ascii="Palatino Linotype" w:hAnsi="Palatino Linotype"/>
          <w:b/>
          <w:bCs/>
          <w:rtl w:val="true"/>
        </w:rPr>
        <w:t>"</w:t>
      </w:r>
      <w:r>
        <w:rPr>
          <w:rFonts w:cs="Palatino Linotype" w:ascii="Palatino Linotype" w:hAnsi="Palatino Linotype"/>
          <w:rtl w:val="true"/>
        </w:rPr>
        <w:t xml:space="preserve"> (</w:t>
      </w:r>
      <w:hyperlink r:id="rId33"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>ע</w:t>
        </w:r>
        <w:r>
          <w:rPr>
            <w:rStyle w:val="Hyperlink"/>
            <w:rFonts w:cs="Palatino Linotype" w:ascii="Palatino Linotype" w:hAnsi="Palatino Linotype"/>
            <w:color w:val="0000FF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Palatino Linotype" w:ascii="Palatino Linotype" w:hAnsi="Palatino Linotype"/>
            <w:color w:val="0000FF"/>
            <w:u w:val="single"/>
          </w:rPr>
          <w:t>993/16</w:t>
        </w:r>
      </w:hyperlink>
      <w:r>
        <w:rPr>
          <w:rFonts w:cs="Palatino Linotype" w:ascii="Palatino Linotype" w:hAnsi="Palatino Linotype"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פלוני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נ</w:t>
      </w:r>
      <w:r>
        <w:rPr>
          <w:rFonts w:cs="Palatino Linotype" w:ascii="Palatino Linotype" w:hAnsi="Palatino Linotype"/>
          <w:b/>
          <w:bCs/>
          <w:rtl w:val="true"/>
        </w:rPr>
        <w:t xml:space="preserve">' </w:t>
      </w:r>
      <w:r>
        <w:rPr>
          <w:rFonts w:ascii="Palatino Linotype" w:hAnsi="Palatino Linotype" w:cs="Palatino Linotype"/>
          <w:b/>
          <w:b/>
          <w:bCs/>
          <w:rtl w:val="true"/>
        </w:rPr>
        <w:t>מדינת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ישראל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cs="Palatino Linotype" w:ascii="Palatino Linotype" w:hAnsi="Palatino Linotype"/>
          <w:rtl w:val="true"/>
        </w:rPr>
        <w:t>[</w:t>
      </w:r>
      <w:r>
        <w:rPr>
          <w:rFonts w:cs="Palatino Linotype" w:ascii="Palatino Linotype" w:hAnsi="Palatino Linotype"/>
        </w:rPr>
        <w:t>22.12.16</w:t>
      </w:r>
      <w:r>
        <w:rPr>
          <w:rFonts w:cs="Palatino Linotype" w:ascii="Palatino Linotype" w:hAnsi="Palatino Linotype"/>
          <w:rtl w:val="true"/>
        </w:rPr>
        <w:t>]).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Palatino Linotype" w:hAnsi="Palatino Linotype" w:cs="Palatino Linotype"/>
          <w:sz w:val="12"/>
          <w:szCs w:val="12"/>
        </w:rPr>
      </w:pPr>
      <w:r>
        <w:rPr>
          <w:rFonts w:cs="Palatino Linotype" w:ascii="Palatino Linotype" w:hAnsi="Palatino Linotype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Palatino Linotype" w:hAnsi="Palatino Linotype" w:cs="Palatino Linotype"/>
          <w:rtl w:val="true"/>
        </w:rPr>
        <w:t>עוד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נקבע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כי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cs="Palatino Linotype" w:ascii="Palatino Linotype" w:hAnsi="Palatino Linotype"/>
          <w:rtl w:val="true"/>
        </w:rPr>
        <w:t>"</w:t>
      </w:r>
      <w:r>
        <w:rPr>
          <w:rFonts w:ascii="Palatino Linotype" w:hAnsi="Palatino Linotype" w:cs="Palatino Linotype"/>
          <w:b/>
          <w:b/>
          <w:bCs/>
          <w:rtl w:val="true"/>
        </w:rPr>
        <w:t>עקרון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אחידות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הענישה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בפלילים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מחייב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כי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במצבים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דומים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מבחינת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אופי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העבירות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ונסיבותיהם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האישיות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של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הנאשמים</w:t>
      </w:r>
      <w:r>
        <w:rPr>
          <w:rFonts w:cs="Palatino Linotype" w:ascii="Palatino Linotype" w:hAnsi="Palatino Linotype"/>
          <w:b/>
          <w:bCs/>
          <w:rtl w:val="true"/>
        </w:rPr>
        <w:t xml:space="preserve">, </w:t>
      </w:r>
      <w:r>
        <w:rPr>
          <w:rFonts w:ascii="Palatino Linotype" w:hAnsi="Palatino Linotype" w:cs="Palatino Linotype"/>
          <w:b/>
          <w:b/>
          <w:bCs/>
          <w:rtl w:val="true"/>
        </w:rPr>
        <w:t>ראוי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להחיל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במידת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האפשר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שיקולי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ענישה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דומים</w:t>
      </w:r>
      <w:r>
        <w:rPr>
          <w:rFonts w:cs="Palatino Linotype" w:ascii="Palatino Linotype" w:hAnsi="Palatino Linotype"/>
          <w:rtl w:val="true"/>
        </w:rPr>
        <w:t>" (</w:t>
      </w:r>
      <w:r>
        <w:rPr>
          <w:rFonts w:ascii="Palatino Linotype" w:hAnsi="Palatino Linotype" w:cs="Palatino Linotype"/>
          <w:rtl w:val="true"/>
        </w:rPr>
        <w:t>ראו</w:t>
      </w:r>
      <w:r>
        <w:rPr>
          <w:rFonts w:cs="Palatino Linotype" w:ascii="Palatino Linotype" w:hAnsi="Palatino Linotype"/>
          <w:rtl w:val="true"/>
        </w:rPr>
        <w:t xml:space="preserve">: </w:t>
      </w:r>
      <w:hyperlink r:id="rId34"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>ע</w:t>
        </w:r>
        <w:r>
          <w:rPr>
            <w:rStyle w:val="Hyperlink"/>
            <w:rFonts w:cs="Palatino Linotype" w:ascii="Palatino Linotype" w:hAnsi="Palatino Linotype"/>
            <w:color w:val="0000FF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Palatino Linotype" w:ascii="Palatino Linotype" w:hAnsi="Palatino Linotype"/>
            <w:color w:val="0000FF"/>
            <w:u w:val="single"/>
          </w:rPr>
          <w:t>5814/14</w:t>
        </w:r>
      </w:hyperlink>
      <w:r>
        <w:rPr>
          <w:rFonts w:cs="Palatino Linotype" w:ascii="Palatino Linotype" w:hAnsi="Palatino Linotype"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עספור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נ</w:t>
      </w:r>
      <w:r>
        <w:rPr>
          <w:rFonts w:cs="Palatino Linotype" w:ascii="Palatino Linotype" w:hAnsi="Palatino Linotype"/>
          <w:b/>
          <w:bCs/>
          <w:rtl w:val="true"/>
        </w:rPr>
        <w:t xml:space="preserve">' </w:t>
      </w:r>
      <w:r>
        <w:rPr>
          <w:rFonts w:ascii="Palatino Linotype" w:hAnsi="Palatino Linotype" w:cs="Palatino Linotype"/>
          <w:b/>
          <w:b/>
          <w:bCs/>
          <w:rtl w:val="true"/>
        </w:rPr>
        <w:t>מדינת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ישראל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cs="Palatino Linotype" w:ascii="Palatino Linotype" w:hAnsi="Palatino Linotype"/>
          <w:rtl w:val="true"/>
        </w:rPr>
        <w:t>(</w:t>
      </w:r>
      <w:r>
        <w:rPr>
          <w:rFonts w:cs="Palatino Linotype" w:ascii="Palatino Linotype" w:hAnsi="Palatino Linotype"/>
        </w:rPr>
        <w:t>14.06.2015</w:t>
      </w:r>
      <w:r>
        <w:rPr>
          <w:rFonts w:cs="Palatino Linotype" w:ascii="Palatino Linotype" w:hAnsi="Palatino Linotype"/>
          <w:rtl w:val="true"/>
        </w:rPr>
        <w:t xml:space="preserve">), </w:t>
      </w:r>
      <w:r>
        <w:rPr>
          <w:rFonts w:ascii="Palatino Linotype" w:hAnsi="Palatino Linotype" w:cs="Palatino Linotype"/>
          <w:rtl w:val="true"/>
        </w:rPr>
        <w:t>בפיסקה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cs="Palatino Linotype" w:ascii="Palatino Linotype" w:hAnsi="Palatino Linotype"/>
        </w:rPr>
        <w:t>7</w:t>
      </w:r>
      <w:r>
        <w:rPr>
          <w:rFonts w:cs="Palatino Linotype" w:ascii="Palatino Linotype" w:hAnsi="Palatino Linotype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Palatino Linotype" w:hAnsi="Palatino Linotype" w:cs="Palatino Linotype"/>
          <w:sz w:val="12"/>
          <w:szCs w:val="12"/>
        </w:rPr>
      </w:pPr>
      <w:r>
        <w:rPr>
          <w:rFonts w:cs="Palatino Linotype" w:ascii="Palatino Linotype" w:hAnsi="Palatino Linotype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Palatino Linotype" w:hAnsi="Palatino Linotype" w:cs="Palatino Linotype"/>
          <w:rtl w:val="true"/>
        </w:rPr>
        <w:t>עם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זאת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נפסק</w:t>
      </w:r>
      <w:r>
        <w:rPr>
          <w:rFonts w:cs="Palatino Linotype" w:ascii="Palatino Linotype" w:hAnsi="Palatino Linotype"/>
          <w:rtl w:val="true"/>
        </w:rPr>
        <w:t>,</w:t>
      </w:r>
      <w:r>
        <w:rPr>
          <w:rFonts w:cs="Palatino Linotype" w:ascii="Palatino Linotype" w:hAnsi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כי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אין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מדובר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בכלל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cs="Palatino Linotype" w:ascii="Palatino Linotype" w:hAnsi="Palatino Linotype"/>
          <w:rtl w:val="true"/>
        </w:rPr>
        <w:t>'</w:t>
      </w:r>
      <w:r>
        <w:rPr>
          <w:rFonts w:ascii="Palatino Linotype" w:hAnsi="Palatino Linotype" w:cs="Palatino Linotype"/>
          <w:rtl w:val="true"/>
        </w:rPr>
        <w:t>מתמטי</w:t>
      </w:r>
      <w:r>
        <w:rPr>
          <w:rFonts w:cs="Palatino Linotype" w:ascii="Palatino Linotype" w:hAnsi="Palatino Linotype"/>
          <w:rtl w:val="true"/>
        </w:rPr>
        <w:t xml:space="preserve">', </w:t>
      </w:r>
      <w:r>
        <w:rPr>
          <w:rFonts w:ascii="Palatino Linotype" w:hAnsi="Palatino Linotype" w:cs="Palatino Linotype"/>
          <w:rtl w:val="true"/>
        </w:rPr>
        <w:t>וכי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אין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דין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אחד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לכל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העבריינים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המורשעים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באותו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סוג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של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עבירות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cs="Palatino Linotype" w:ascii="Palatino Linotype" w:hAnsi="Palatino Linotype"/>
          <w:rtl w:val="true"/>
        </w:rPr>
        <w:t>(</w:t>
      </w:r>
      <w:r>
        <w:rPr>
          <w:rFonts w:ascii="Palatino Linotype" w:hAnsi="Palatino Linotype" w:cs="Palatino Linotype"/>
          <w:rtl w:val="true"/>
        </w:rPr>
        <w:t>ראו</w:t>
      </w:r>
      <w:r>
        <w:rPr>
          <w:rFonts w:cs="Palatino Linotype" w:ascii="Palatino Linotype" w:hAnsi="Palatino Linotype"/>
          <w:rtl w:val="true"/>
        </w:rPr>
        <w:t xml:space="preserve">: </w:t>
      </w:r>
      <w:hyperlink r:id="rId35"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>ע</w:t>
        </w:r>
        <w:r>
          <w:rPr>
            <w:rStyle w:val="Hyperlink"/>
            <w:rFonts w:cs="Palatino Linotype" w:ascii="Palatino Linotype" w:hAnsi="Palatino Linotype"/>
            <w:color w:val="0000FF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Palatino Linotype" w:ascii="Palatino Linotype" w:hAnsi="Palatino Linotype"/>
            <w:color w:val="0000FF"/>
            <w:u w:val="single"/>
          </w:rPr>
          <w:t>5080/15</w:t>
        </w:r>
      </w:hyperlink>
      <w:r>
        <w:rPr>
          <w:rFonts w:cs="Palatino Linotype" w:ascii="Palatino Linotype" w:hAnsi="Palatino Linotype"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עביד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נ</w:t>
      </w:r>
      <w:r>
        <w:rPr>
          <w:rFonts w:cs="Palatino Linotype" w:ascii="Palatino Linotype" w:hAnsi="Palatino Linotype"/>
          <w:b/>
          <w:bCs/>
          <w:rtl w:val="true"/>
        </w:rPr>
        <w:t xml:space="preserve">' </w:t>
      </w:r>
      <w:r>
        <w:rPr>
          <w:rFonts w:ascii="Palatino Linotype" w:hAnsi="Palatino Linotype" w:cs="Palatino Linotype"/>
          <w:b/>
          <w:b/>
          <w:bCs/>
          <w:rtl w:val="true"/>
        </w:rPr>
        <w:t>מדינת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ישראל</w:t>
      </w:r>
      <w:r>
        <w:rPr>
          <w:rFonts w:cs="Palatino Linotype" w:ascii="Palatino Linotype" w:hAnsi="Palatino Linotype"/>
          <w:rtl w:val="true"/>
        </w:rPr>
        <w:t xml:space="preserve">, </w:t>
      </w:r>
      <w:r>
        <w:rPr>
          <w:rFonts w:ascii="Palatino Linotype" w:hAnsi="Palatino Linotype" w:cs="Palatino Linotype"/>
          <w:rtl w:val="true"/>
        </w:rPr>
        <w:t>פיסקה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cs="Palatino Linotype" w:ascii="Palatino Linotype" w:hAnsi="Palatino Linotype"/>
        </w:rPr>
        <w:t>15</w:t>
      </w:r>
      <w:r>
        <w:rPr>
          <w:rFonts w:cs="Palatino Linotype" w:ascii="Palatino Linotype" w:hAnsi="Palatino Linotype"/>
          <w:rtl w:val="true"/>
        </w:rPr>
        <w:t xml:space="preserve"> (</w:t>
      </w:r>
      <w:r>
        <w:rPr>
          <w:rFonts w:cs="Palatino Linotype" w:ascii="Palatino Linotype" w:hAnsi="Palatino Linotype"/>
        </w:rPr>
        <w:t>10.03.2016</w:t>
      </w:r>
      <w:r>
        <w:rPr>
          <w:rFonts w:cs="Palatino Linotype" w:ascii="Palatino Linotype" w:hAnsi="Palatino Linotype"/>
          <w:rtl w:val="true"/>
        </w:rPr>
        <w:t>) (</w:t>
      </w:r>
      <w:hyperlink r:id="rId36"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>ע</w:t>
        </w:r>
        <w:r>
          <w:rPr>
            <w:rStyle w:val="Hyperlink"/>
            <w:rFonts w:cs="Palatino Linotype" w:ascii="Palatino Linotype" w:hAnsi="Palatino Linotype"/>
            <w:color w:val="0000FF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Palatino Linotype" w:ascii="Palatino Linotype" w:hAnsi="Palatino Linotype"/>
            <w:color w:val="0000FF"/>
            <w:u w:val="single"/>
          </w:rPr>
          <w:t>4154/16</w:t>
        </w:r>
      </w:hyperlink>
      <w:r>
        <w:rPr>
          <w:rFonts w:cs="Palatino Linotype" w:ascii="Palatino Linotype" w:hAnsi="Palatino Linotype"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דהוד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נ</w:t>
      </w:r>
      <w:r>
        <w:rPr>
          <w:rFonts w:cs="Palatino Linotype" w:ascii="Palatino Linotype" w:hAnsi="Palatino Linotype"/>
          <w:b/>
          <w:bCs/>
          <w:rtl w:val="true"/>
        </w:rPr>
        <w:t xml:space="preserve">' </w:t>
      </w:r>
      <w:r>
        <w:rPr>
          <w:rFonts w:ascii="Palatino Linotype" w:hAnsi="Palatino Linotype" w:cs="Palatino Linotype"/>
          <w:b/>
          <w:b/>
          <w:bCs/>
          <w:rtl w:val="true"/>
        </w:rPr>
        <w:t>מדינת</w:t>
      </w:r>
      <w:r>
        <w:rPr>
          <w:rFonts w:ascii="Palatino Linotype" w:hAnsi="Palatino Linotype" w:cs="Palatino Linotype"/>
          <w:b/>
          <w:b/>
          <w:bCs/>
          <w:rtl w:val="true"/>
        </w:rPr>
        <w:t xml:space="preserve"> </w:t>
      </w:r>
      <w:r>
        <w:rPr>
          <w:rFonts w:ascii="Palatino Linotype" w:hAnsi="Palatino Linotype" w:cs="Palatino Linotype"/>
          <w:b/>
          <w:b/>
          <w:bCs/>
          <w:rtl w:val="true"/>
        </w:rPr>
        <w:t>ישראל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cs="Palatino Linotype" w:ascii="Palatino Linotype" w:hAnsi="Palatino Linotype"/>
          <w:rtl w:val="true"/>
        </w:rPr>
        <w:t>[</w:t>
      </w:r>
      <w:r>
        <w:rPr>
          <w:rFonts w:cs="Palatino Linotype" w:ascii="Palatino Linotype" w:hAnsi="Palatino Linotype"/>
        </w:rPr>
        <w:t>19.1.17</w:t>
      </w:r>
      <w:r>
        <w:rPr>
          <w:rFonts w:cs="Palatino Linotype" w:ascii="Palatino Linotype" w:hAnsi="Palatino Linotype"/>
          <w:rtl w:val="true"/>
        </w:rPr>
        <w:t xml:space="preserve">], </w:t>
      </w:r>
      <w:r>
        <w:rPr>
          <w:rFonts w:ascii="Palatino Linotype" w:hAnsi="Palatino Linotype" w:cs="Palatino Linotype"/>
          <w:rtl w:val="true"/>
        </w:rPr>
        <w:t>פסקה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cs="Palatino Linotype" w:ascii="Palatino Linotype" w:hAnsi="Palatino Linotype"/>
        </w:rPr>
        <w:t>13</w:t>
      </w:r>
      <w:r>
        <w:rPr>
          <w:rFonts w:cs="Palatino Linotype" w:ascii="Palatino Linotype" w:hAnsi="Palatino Linotype"/>
          <w:rtl w:val="true"/>
        </w:rPr>
        <w:t xml:space="preserve">).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Palatino Linotype" w:hAnsi="Palatino Linotype" w:cs="Palatino Linotype"/>
          <w:sz w:val="12"/>
          <w:szCs w:val="12"/>
        </w:rPr>
      </w:pPr>
      <w:r>
        <w:rPr>
          <w:rFonts w:cs="Palatino Linotype" w:ascii="Palatino Linotype" w:hAnsi="Palatino Linotype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rtl w:val="true"/>
        </w:rPr>
        <w:t>לפיכך</w:t>
      </w:r>
      <w:r>
        <w:rPr>
          <w:rFonts w:cs="Palatino Linotype" w:ascii="Palatino Linotype" w:hAnsi="Palatino Linotype"/>
          <w:rtl w:val="true"/>
        </w:rPr>
        <w:t xml:space="preserve">, </w:t>
      </w:r>
      <w:r>
        <w:rPr>
          <w:rFonts w:ascii="Palatino Linotype" w:hAnsi="Palatino Linotype" w:cs="Palatino Linotype"/>
          <w:rtl w:val="true"/>
        </w:rPr>
        <w:t>בנוסף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לשיקולי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הענישה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שמניתי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לעיל</w:t>
      </w:r>
      <w:r>
        <w:rPr>
          <w:rFonts w:cs="Palatino Linotype" w:ascii="Palatino Linotype" w:hAnsi="Palatino Linotype"/>
          <w:rtl w:val="true"/>
        </w:rPr>
        <w:t xml:space="preserve">, </w:t>
      </w:r>
      <w:r>
        <w:rPr>
          <w:rFonts w:ascii="Palatino Linotype" w:hAnsi="Palatino Linotype" w:cs="Palatino Linotype"/>
          <w:rtl w:val="true"/>
        </w:rPr>
        <w:t>יש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לשקול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גם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את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העונשים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שהוטלו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על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מעורבים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אחרים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בפרשה</w:t>
      </w:r>
      <w:r>
        <w:rPr>
          <w:rFonts w:ascii="Palatino Linotype" w:hAnsi="Palatino Linotype" w:cs="Palatino Linotype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זו</w:t>
      </w:r>
      <w:r>
        <w:rPr>
          <w:rFonts w:cs="Palatino Linotype" w:ascii="Palatino Linotype" w:hAnsi="Palatino Linotype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Palatino Linotype" w:hAnsi="Palatino Linotype" w:cs="Palatino Linotype"/>
          <w:sz w:val="12"/>
          <w:szCs w:val="12"/>
        </w:rPr>
      </w:pPr>
      <w:r>
        <w:rPr>
          <w:rFonts w:cs="Palatino Linotype" w:ascii="Palatino Linotype" w:hAnsi="Palatino Linotype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בן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בעת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53335-04-18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התפרעות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והוא לא ניהל אורח חיים נורמטיבי טרם 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שמיוחסים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פלוני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Calibri" w:hAnsi="Calibri" w:cs="Calibri"/>
          <w:sz w:val="12"/>
          <w:szCs w:val="12"/>
          <w:highlight w:val="yellow"/>
        </w:rPr>
      </w:pPr>
      <w:r>
        <w:rPr>
          <w:rFonts w:cs="Calibri" w:ascii="Calibri" w:hAnsi="Calibri"/>
          <w:sz w:val="12"/>
          <w:szCs w:val="12"/>
          <w:highlight w:val="yellow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אלמוני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בן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בעת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37213-04-18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פרידמן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פלדמן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יודגש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שלאלמוני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בהתפרעות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אלמוני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7942-05-18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המשותף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משמעותי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הנאשם </w:t>
      </w:r>
      <w:r>
        <w:rPr>
          <w:rFonts w:ascii="Calibri" w:hAnsi="Calibri" w:cs="Calibri"/>
          <w:rtl w:val="true"/>
        </w:rPr>
        <w:t>החמור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פלילי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שיתף פעולה עם הרשויות עוד משלב 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ונראה שההליך הפלילי הציב לו גבולות ברורים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374" w:end="0"/>
        <w:contextualSpacing/>
        <w:jc w:val="both"/>
        <w:rPr>
          <w:rFonts w:ascii="David" w:hAnsi="David" w:cs="David"/>
          <w:color w:val="222222"/>
          <w:sz w:val="12"/>
          <w:szCs w:val="12"/>
        </w:rPr>
      </w:pPr>
      <w:r>
        <w:rPr>
          <w:rFonts w:cs="David" w:ascii="David" w:hAnsi="David"/>
          <w:color w:val="222222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74" w:start="232" w:end="0"/>
        <w:contextualSpacing/>
        <w:jc w:val="both"/>
        <w:rPr>
          <w:rFonts w:ascii="Arial" w:hAnsi="Arial" w:cs="Arial"/>
          <w:color w:val="222222"/>
        </w:rPr>
      </w:pPr>
      <w:r>
        <w:rPr>
          <w:rFonts w:ascii="David" w:hAnsi="David"/>
          <w:color w:val="222222"/>
          <w:rtl w:val="true"/>
        </w:rPr>
        <w:t>סוף דבר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באיזון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בין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מכלול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השיקולים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מצאתי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לגזור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עונש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המצוי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ברף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התחתון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מתחם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העונש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ההולם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כדלהלן</w:t>
      </w:r>
      <w:r>
        <w:rPr>
          <w:rFonts w:cs="David" w:ascii="David" w:hAnsi="David"/>
          <w:color w:val="222222"/>
          <w:rtl w:val="true"/>
        </w:rPr>
        <w:t>:</w:t>
      </w:r>
    </w:p>
    <w:p>
      <w:pPr>
        <w:pStyle w:val="Normal"/>
        <w:spacing w:lineRule="auto" w:line="360"/>
        <w:ind w:start="945" w:end="0"/>
        <w:jc w:val="both"/>
        <w:rPr>
          <w:rFonts w:ascii="Arial" w:hAnsi="Arial" w:cs="Arial"/>
          <w:color w:val="222222"/>
          <w:sz w:val="12"/>
          <w:szCs w:val="12"/>
        </w:rPr>
      </w:pPr>
      <w:r>
        <w:rPr>
          <w:rFonts w:cs="Arial" w:ascii="Arial" w:hAnsi="Arial"/>
          <w:color w:val="222222"/>
          <w:sz w:val="12"/>
          <w:szCs w:val="1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1082" w:end="0"/>
        <w:contextualSpacing/>
        <w:jc w:val="both"/>
        <w:rPr>
          <w:rFonts w:ascii="Arial" w:hAnsi="Arial" w:cs="Arial"/>
          <w:color w:val="222222"/>
        </w:rPr>
      </w:pPr>
      <w:r>
        <w:rPr>
          <w:rFonts w:cs="David" w:ascii="David" w:hAnsi="David"/>
          <w:color w:val="222222"/>
        </w:rPr>
        <w:t>20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בפועל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אשר ירוצו מיום מעצרו</w:t>
      </w:r>
      <w:r>
        <w:rPr>
          <w:rFonts w:ascii="Arial" w:hAnsi="Arial" w:cs="Arial"/>
          <w:color w:val="222222"/>
          <w:rtl w:val="true"/>
        </w:rPr>
        <w:t xml:space="preserve"> </w:t>
      </w:r>
      <w:r>
        <w:rPr>
          <w:rFonts w:cs="David" w:ascii="David" w:hAnsi="David"/>
        </w:rPr>
        <w:t>21.3.18</w:t>
      </w:r>
      <w:r>
        <w:rPr>
          <w:rFonts w:cs="Arial" w:ascii="Arial" w:hAnsi="Arial"/>
          <w:color w:val="222222"/>
          <w:rtl w:val="true"/>
        </w:rPr>
        <w:t>.</w:t>
      </w:r>
    </w:p>
    <w:p>
      <w:pPr>
        <w:pStyle w:val="Normal"/>
        <w:spacing w:lineRule="auto" w:line="360" w:before="0" w:after="0"/>
        <w:ind w:start="1082" w:end="0"/>
        <w:contextualSpacing/>
        <w:jc w:val="both"/>
        <w:rPr>
          <w:rFonts w:ascii="Arial" w:hAnsi="Arial" w:cs="Arial"/>
          <w:color w:val="222222"/>
          <w:sz w:val="12"/>
          <w:szCs w:val="12"/>
        </w:rPr>
      </w:pPr>
      <w:r>
        <w:rPr>
          <w:rFonts w:cs="Arial" w:ascii="Arial" w:hAnsi="Arial"/>
          <w:color w:val="222222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082" w:end="0"/>
        <w:contextualSpacing/>
        <w:jc w:val="both"/>
        <w:rPr>
          <w:rFonts w:ascii="Arial" w:hAnsi="Arial" w:cs="Arial"/>
          <w:color w:val="222222"/>
        </w:rPr>
      </w:pPr>
      <w:r>
        <w:rPr>
          <w:rFonts w:cs="Times New Roman"/>
          <w:color w:val="222222"/>
          <w:sz w:val="14"/>
          <w:szCs w:val="14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cs="David" w:ascii="David" w:hAnsi="David"/>
          <w:color w:val="222222"/>
          <w:rtl w:val="true"/>
        </w:rPr>
        <w:t>-</w:t>
      </w:r>
      <w:r>
        <w:rPr>
          <w:rFonts w:ascii="David" w:hAnsi="David"/>
          <w:color w:val="222222"/>
          <w:rtl w:val="true"/>
        </w:rPr>
        <w:t>תנאי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לתקופה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12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למשך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שנתיים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מיום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שחרורו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ממאסר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התנאי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הוא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יעבור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עבירה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בנשק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מסוג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פשע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או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עבירה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הצתה</w:t>
      </w:r>
      <w:r>
        <w:rPr>
          <w:rFonts w:cs="David" w:ascii="David" w:hAnsi="David"/>
          <w:color w:val="222222"/>
          <w:rtl w:val="true"/>
        </w:rPr>
        <w:t>.</w:t>
      </w:r>
    </w:p>
    <w:p>
      <w:pPr>
        <w:pStyle w:val="Normal"/>
        <w:spacing w:lineRule="auto" w:line="360" w:before="0" w:after="0"/>
        <w:ind w:start="1082" w:end="0"/>
        <w:contextualSpacing/>
        <w:jc w:val="both"/>
        <w:rPr>
          <w:rFonts w:ascii="Arial" w:hAnsi="Arial" w:cs="Arial"/>
          <w:color w:val="222222"/>
          <w:sz w:val="12"/>
          <w:szCs w:val="12"/>
        </w:rPr>
      </w:pPr>
      <w:r>
        <w:rPr>
          <w:rFonts w:cs="Arial" w:ascii="Arial" w:hAnsi="Arial"/>
          <w:color w:val="222222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082" w:end="0"/>
        <w:contextualSpacing/>
        <w:jc w:val="both"/>
        <w:rPr>
          <w:rFonts w:ascii="Arial" w:hAnsi="Arial" w:cs="Arial"/>
          <w:color w:val="222222"/>
        </w:rPr>
      </w:pPr>
      <w:r>
        <w:rPr>
          <w:rFonts w:ascii="David" w:hAnsi="David"/>
          <w:color w:val="222222"/>
          <w:rtl w:val="true"/>
        </w:rPr>
        <w:t>מאסר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על</w:t>
      </w:r>
      <w:r>
        <w:rPr>
          <w:rFonts w:cs="David" w:ascii="David" w:hAnsi="David"/>
          <w:color w:val="222222"/>
          <w:rtl w:val="true"/>
        </w:rPr>
        <w:t>-</w:t>
      </w:r>
      <w:r>
        <w:rPr>
          <w:rFonts w:ascii="David" w:hAnsi="David"/>
          <w:color w:val="222222"/>
          <w:rtl w:val="true"/>
        </w:rPr>
        <w:t>תנאי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לתקופה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של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cs="David" w:ascii="David" w:hAnsi="David"/>
          <w:color w:val="222222"/>
        </w:rPr>
        <w:t>3</w:t>
      </w:r>
      <w:r>
        <w:rPr>
          <w:rFonts w:cs="David"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חודשים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למשך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שנתיים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מיום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שחרורו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ממאסר</w:t>
      </w:r>
      <w:r>
        <w:rPr>
          <w:rFonts w:cs="David" w:ascii="David" w:hAnsi="David"/>
          <w:color w:val="222222"/>
          <w:rtl w:val="true"/>
        </w:rPr>
        <w:t xml:space="preserve">. </w:t>
      </w:r>
      <w:r>
        <w:rPr>
          <w:rFonts w:ascii="David" w:hAnsi="David"/>
          <w:color w:val="222222"/>
          <w:rtl w:val="true"/>
        </w:rPr>
        <w:t>התנאי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הוא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שהנאשם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לא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יעבור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עבירה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בנשק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מסוג</w:t>
      </w:r>
      <w:r>
        <w:rPr>
          <w:rFonts w:ascii="David" w:hAnsi="David"/>
          <w:color w:val="222222"/>
          <w:rtl w:val="true"/>
        </w:rPr>
        <w:t xml:space="preserve"> </w:t>
      </w:r>
      <w:r>
        <w:rPr>
          <w:rFonts w:ascii="David" w:hAnsi="David"/>
          <w:color w:val="222222"/>
          <w:rtl w:val="true"/>
        </w:rPr>
        <w:t>עוון</w:t>
      </w:r>
      <w:r>
        <w:rPr>
          <w:rFonts w:ascii="David" w:hAnsi="David"/>
          <w:color w:val="222222"/>
          <w:rtl w:val="true"/>
        </w:rPr>
        <w:t xml:space="preserve"> או עבירה של היזק בזדון לרכוש</w:t>
      </w:r>
      <w:r>
        <w:rPr>
          <w:rFonts w:cs="David" w:ascii="David" w:hAnsi="David"/>
          <w:color w:val="222222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37387-04-18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מועתז דחל אללה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rFonts w:cs="Times New Roman"/>
      </w:rPr>
    </w:lvl>
    <w:lvl w:ilvl="2">
      <w:start w:val="1"/>
      <w:numFmt w:val="hebrew1"/>
      <w:lvlText w:val="%3."/>
      <w:lvlJc w:val="center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2025" w:hanging="360"/>
      </w:pPr>
      <w:rPr>
        <w:rFonts w:ascii="David" w:hAnsi="David"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ascii="David" w:hAnsi="David" w:cs="David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48.a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case/24150934" TargetMode="External"/><Relationship Id="rId16" Type="http://schemas.openxmlformats.org/officeDocument/2006/relationships/hyperlink" Target="http://www.nevo.co.il/case/24150934" TargetMode="External"/><Relationship Id="rId17" Type="http://schemas.openxmlformats.org/officeDocument/2006/relationships/hyperlink" Target="http://www.nevo.co.il/case/23878931" TargetMode="External"/><Relationship Id="rId18" Type="http://schemas.openxmlformats.org/officeDocument/2006/relationships/hyperlink" Target="http://www.nevo.co.il/law/70301/40b" TargetMode="External"/><Relationship Id="rId19" Type="http://schemas.openxmlformats.org/officeDocument/2006/relationships/hyperlink" Target="http://www.nevo.co.il/case/6188919" TargetMode="External"/><Relationship Id="rId20" Type="http://schemas.openxmlformats.org/officeDocument/2006/relationships/hyperlink" Target="http://www.nevo.co.il/case/22576642" TargetMode="External"/><Relationship Id="rId21" Type="http://schemas.openxmlformats.org/officeDocument/2006/relationships/hyperlink" Target="http://www.nevo.co.il/case/20050835" TargetMode="External"/><Relationship Id="rId22" Type="http://schemas.openxmlformats.org/officeDocument/2006/relationships/hyperlink" Target="http://www.nevo.co.il/case/5587202" TargetMode="External"/><Relationship Id="rId23" Type="http://schemas.openxmlformats.org/officeDocument/2006/relationships/hyperlink" Target="http://www.nevo.co.il/case/21476010" TargetMode="External"/><Relationship Id="rId24" Type="http://schemas.openxmlformats.org/officeDocument/2006/relationships/hyperlink" Target="http://www.nevo.co.il/case/6188919" TargetMode="External"/><Relationship Id="rId25" Type="http://schemas.openxmlformats.org/officeDocument/2006/relationships/hyperlink" Target="http://www.nevo.co.il/case/18067750" TargetMode="External"/><Relationship Id="rId26" Type="http://schemas.openxmlformats.org/officeDocument/2006/relationships/hyperlink" Target="http://www.nevo.co.il/case/20368844" TargetMode="External"/><Relationship Id="rId27" Type="http://schemas.openxmlformats.org/officeDocument/2006/relationships/hyperlink" Target="http://www.nevo.co.il/case/21478427" TargetMode="External"/><Relationship Id="rId28" Type="http://schemas.openxmlformats.org/officeDocument/2006/relationships/hyperlink" Target="http://www.nevo.co.il/case/20557630" TargetMode="External"/><Relationship Id="rId29" Type="http://schemas.openxmlformats.org/officeDocument/2006/relationships/hyperlink" Target="http://www.nevo.co.il/case/16892819" TargetMode="External"/><Relationship Id="rId30" Type="http://schemas.openxmlformats.org/officeDocument/2006/relationships/hyperlink" Target="http://www.nevo.co.il/case/21904972" TargetMode="External"/><Relationship Id="rId31" Type="http://schemas.openxmlformats.org/officeDocument/2006/relationships/hyperlink" Target="http://www.nevo.co.il/case/22576642" TargetMode="External"/><Relationship Id="rId32" Type="http://schemas.openxmlformats.org/officeDocument/2006/relationships/hyperlink" Target="http://www.nevo.co.il/case/5048155" TargetMode="External"/><Relationship Id="rId33" Type="http://schemas.openxmlformats.org/officeDocument/2006/relationships/hyperlink" Target="http://www.nevo.co.il/case/22257816" TargetMode="External"/><Relationship Id="rId34" Type="http://schemas.openxmlformats.org/officeDocument/2006/relationships/hyperlink" Target="http://www.nevo.co.il/case/17948130" TargetMode="External"/><Relationship Id="rId35" Type="http://schemas.openxmlformats.org/officeDocument/2006/relationships/hyperlink" Target="http://www.nevo.co.il/case/20455789" TargetMode="External"/><Relationship Id="rId36" Type="http://schemas.openxmlformats.org/officeDocument/2006/relationships/hyperlink" Target="http://www.nevo.co.il/case/21474520" TargetMode="External"/><Relationship Id="rId37" Type="http://schemas.openxmlformats.org/officeDocument/2006/relationships/hyperlink" Target="http://www.nevo.co.il/case/23896755" TargetMode="External"/><Relationship Id="rId38" Type="http://schemas.openxmlformats.org/officeDocument/2006/relationships/hyperlink" Target="http://www.nevo.co.il/case/23878931" TargetMode="External"/><Relationship Id="rId39" Type="http://schemas.openxmlformats.org/officeDocument/2006/relationships/hyperlink" Target="http://www.nevo.co.il/case/24150934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2019-06-06T11:33:00Z</dcterms:created>
  <dc:creator> </dc:creator>
  <dc:description/>
  <cp:keywords/>
  <dc:language>en-IL</dc:language>
  <cp:lastModifiedBy>yafit</cp:lastModifiedBy>
  <dcterms:modified xsi:type="dcterms:W3CDTF">2019-06-06T11:33:00Z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מועתז דחל אללה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24150934:3;23878931:2;6188919:2;22576642:2;20050835;5587202;21476010;18067750;20368844;21478427;20557630;16892819;21904972;5048155;22257816;17948130;20455789;21474520;23896755</vt:lpwstr>
  </property>
  <property fmtid="{D5CDD505-2E9C-101B-9397-08002B2CF9AE}" pid="9" name="CITY">
    <vt:lpwstr>י-ם</vt:lpwstr>
  </property>
  <property fmtid="{D5CDD505-2E9C-101B-9397-08002B2CF9AE}" pid="10" name="DATE">
    <vt:lpwstr>20190218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70301/144.b2;029;144.b;448.a;025;040b</vt:lpwstr>
  </property>
  <property fmtid="{D5CDD505-2E9C-101B-9397-08002B2CF9AE}" pid="15" name="LAWYER">
    <vt:lpwstr>אור גבאי;עאטף פרחאת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37387</vt:lpwstr>
  </property>
  <property fmtid="{D5CDD505-2E9C-101B-9397-08002B2CF9AE}" pid="22" name="NEWPARTB">
    <vt:lpwstr>04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390020190218</vt:lpwstr>
  </property>
  <property fmtid="{D5CDD505-2E9C-101B-9397-08002B2CF9AE}" pid="34" name="TYPE_N_DATE">
    <vt:lpwstr>39020190218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