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72"/>
        <w:gridCol w:w="269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477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37403-01-10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עבא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דורון פורת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וליד עבאס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 xml:space="preserve">מטעם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שני וייל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              </w:t>
      </w:r>
      <w:r>
        <w:rPr>
          <w:u w:val="none"/>
          <w:rtl w:val="true"/>
        </w:rPr>
        <w:t xml:space="preserve">מטעם 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אנואר זועבי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>סעדי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244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-p"/>
        <w:bidi w:val="1"/>
        <w:spacing w:lineRule="auto" w:line="360"/>
        <w:ind w:end="0"/>
        <w:jc w:val="center"/>
        <w:rPr>
          <w:rFonts w:ascii="Arial" w:hAnsi="Arial" w:eastAsia="David" w:cs="David"/>
          <w:b/>
          <w:bCs/>
          <w:sz w:val="28"/>
          <w:szCs w:val="28"/>
          <w:u w:val="none"/>
        </w:rPr>
      </w:pPr>
      <w:r>
        <w:rPr>
          <w:rFonts w:eastAsia="David" w:cs="David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-p"/>
        <w:bidi w:val="1"/>
        <w:spacing w:lineRule="auto" w:line="360"/>
        <w:ind w:end="0"/>
        <w:jc w:val="center"/>
        <w:rPr>
          <w:rFonts w:ascii="Arial" w:hAnsi="Arial" w:eastAsia="David" w:cs="David"/>
          <w:b/>
          <w:bCs/>
          <w:sz w:val="28"/>
          <w:szCs w:val="28"/>
        </w:rPr>
      </w:pPr>
      <w:r>
        <w:rPr>
          <w:rFonts w:eastAsia="David" w:cs="David" w:ascii="Arial" w:hAnsi="Arial"/>
          <w:b/>
          <w:bCs/>
          <w:sz w:val="28"/>
          <w:szCs w:val="28"/>
          <w:rtl w:val="true"/>
        </w:rPr>
      </w:r>
    </w:p>
    <w:p>
      <w:pPr>
        <w:pStyle w:val="normal-p"/>
        <w:bidi w:val="1"/>
        <w:spacing w:lineRule="auto" w:line="360"/>
        <w:ind w:end="0"/>
        <w:jc w:val="center"/>
        <w:rPr>
          <w:rFonts w:ascii="Arial" w:hAnsi="Arial" w:eastAsia="David" w:cs="David"/>
          <w:b/>
          <w:bCs/>
          <w:sz w:val="28"/>
          <w:szCs w:val="28"/>
        </w:rPr>
      </w:pPr>
      <w:r>
        <w:rPr>
          <w:rFonts w:eastAsia="David" w:cs="David" w:ascii="Arial" w:hAnsi="Arial"/>
          <w:b/>
          <w:bCs/>
          <w:sz w:val="28"/>
          <w:szCs w:val="28"/>
          <w:rtl w:val="true"/>
        </w:rPr>
      </w:r>
    </w:p>
    <w:p>
      <w:pPr>
        <w:pStyle w:val="normal-p"/>
        <w:bidi w:val="1"/>
        <w:spacing w:lineRule="auto" w:line="360"/>
        <w:ind w:end="0"/>
        <w:jc w:val="center"/>
        <w:rPr>
          <w:rFonts w:ascii="Arial" w:hAnsi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eastAsia="David" w:cs="David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eastAsia="David" w:cs="David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bookmarkStart w:id="7" w:name="PsakDin"/>
      <w:bookmarkStart w:id="8" w:name="ABSTRACT_START"/>
      <w:bookmarkEnd w:id="7"/>
      <w:bookmarkEnd w:id="8"/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רישא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+ </w:t>
      </w:r>
      <w:r>
        <w:rPr>
          <w:rStyle w:val="normal-h"/>
          <w:rFonts w:cs="David"/>
          <w:rtl w:val="true"/>
        </w:rPr>
        <w:t>סיפא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</w:t>
      </w:r>
      <w:hyperlink r:id="rId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>:"</w:t>
      </w:r>
      <w:r>
        <w:rPr>
          <w:rStyle w:val="normal-h"/>
          <w:rFonts w:cs="David"/>
          <w:b/>
          <w:b/>
          <w:bCs/>
          <w:rtl w:val="true"/>
        </w:rPr>
        <w:t>חוק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");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שיבוש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מהלכי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244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</w:rPr>
      </w:pPr>
      <w:bookmarkStart w:id="9" w:name="ABSTRACT_END"/>
      <w:bookmarkEnd w:id="9"/>
      <w:r>
        <w:rPr>
          <w:rStyle w:val="normal-h"/>
          <w:rFonts w:cs="David"/>
          <w:rtl w:val="true"/>
        </w:rPr>
        <w:t>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פורטו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בהרחבה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בהכרעת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בקליפת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האגוז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יאמר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עריכת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חיפוש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אשתו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פתחה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אוחזת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תינוקת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ניצל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השיהוי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שנוצר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בכניסת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והשליך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עטופים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בכיסוי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אסלה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לחצר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סמוך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 לעונש מטעם התביעה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ועתרה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מחמירה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ניהל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זכאי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וחסכו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Style w:val="normal-h"/>
          <w:rFonts w:cs="Times New Roman"/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</w:rPr>
        <w:t>21.1.10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וקנס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טיעונים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לעונש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מטעם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ההגנה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לנהל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מאמין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בחפותו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למוטב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ועסק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והיותו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לתינוקת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שנולדה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שנעצר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דברי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הנאשם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החלטת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ובנזק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שנגרם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כתוצאה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המשפטי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normal-h"/>
          <w:rFonts w:cs="David"/>
          <w:b/>
          <w:bCs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דיון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לאחר שמיעת ראיות בעבירה של החזקת שני אקדחים טעונים בכדורים בביתו וכן בעבירה של שיבוש מהלכי 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8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 הענישה בעבירות נשק</w:t>
      </w:r>
    </w:p>
    <w:p>
      <w:pPr>
        <w:pStyle w:val="Ruller4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בתי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הדגישו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אחת</w:t>
      </w:r>
      <w:r>
        <w:rPr>
          <w:rFonts w:ascii="Arial" w:hAnsi="Arial" w:eastAsia="Arial" w:cs="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ושימוש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בהחלטת 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 בך ב</w:t>
      </w:r>
      <w:hyperlink r:id="rId9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ש </w:t>
        </w:r>
        <w:r>
          <w:rPr>
            <w:rStyle w:val="Hyperlink"/>
          </w:rPr>
          <w:t>625/87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אבו מוך 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 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לז</w:t>
      </w:r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668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671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סווגו עבירות החזקת נשק לפי חומרתן מן הכבד אל הקל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באופן הבא</w:t>
      </w:r>
      <w:r>
        <w:rPr>
          <w:color w:val="000000"/>
          <w:rtl w:val="true"/>
        </w:rPr>
        <w:t>:</w:t>
      </w:r>
    </w:p>
    <w:p>
      <w:pPr>
        <w:pStyle w:val="Ruller51"/>
        <w:spacing w:lineRule="auto" w:line="360"/>
        <w:ind w:end="1282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  <w:t>"(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לשם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מעשים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המיועדים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בביטחון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בביטחון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.</w:t>
      </w:r>
    </w:p>
    <w:p>
      <w:pPr>
        <w:pStyle w:val="Ruller51"/>
        <w:spacing w:lineRule="auto" w:line="360"/>
        <w:ind w:end="1282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לשם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פלילית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כגון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התפרצות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תקיפה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וכו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'.</w:t>
      </w:r>
    </w:p>
    <w:p>
      <w:pPr>
        <w:pStyle w:val="Ruller51"/>
        <w:spacing w:lineRule="auto" w:line="360"/>
        <w:ind w:end="1282"/>
        <w:jc w:val="both"/>
        <w:rPr>
          <w:rStyle w:val="Ruller5"/>
          <w:rFonts w:cs="David"/>
          <w:sz w:val="24"/>
          <w:szCs w:val="24"/>
        </w:rPr>
      </w:pP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Cs/>
          <w:sz w:val="24"/>
          <w:szCs w:val="24"/>
          <w:rtl w:val="true"/>
        </w:rPr>
        <w:t>'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לעת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מצוא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פעילות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פלילית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אפשרית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בעתיד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. </w:t>
      </w:r>
    </w:p>
    <w:p>
      <w:pPr>
        <w:pStyle w:val="Ruller51"/>
        <w:spacing w:lineRule="auto" w:line="360"/>
        <w:ind w:end="1282"/>
        <w:jc w:val="both"/>
        <w:rPr>
          <w:rStyle w:val="Ruller5"/>
          <w:rFonts w:cs="David"/>
          <w:b/>
          <w:bCs/>
          <w:sz w:val="24"/>
          <w:szCs w:val="24"/>
        </w:rPr>
      </w:pP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צבירת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Ruller5"/>
          <w:rFonts w:cs="David"/>
          <w:b/>
          <w:bCs/>
          <w:sz w:val="24"/>
          <w:szCs w:val="24"/>
          <w:rtl w:val="true"/>
        </w:rPr>
        <w:t>-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קבוצה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פוליטית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עדתית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אידיאולוגית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במטרה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לחזק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כוחה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כנגד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קבוצות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יריבות</w:t>
      </w:r>
      <w:r>
        <w:rPr>
          <w:rStyle w:val="Ruller5"/>
          <w:rFonts w:cs="David"/>
          <w:b/>
          <w:bCs/>
          <w:sz w:val="24"/>
          <w:szCs w:val="24"/>
          <w:rtl w:val="true"/>
        </w:rPr>
        <w:t>.</w:t>
      </w:r>
    </w:p>
    <w:p>
      <w:pPr>
        <w:pStyle w:val="Ruller51"/>
        <w:spacing w:lineRule="auto" w:line="360"/>
        <w:ind w:end="1282"/>
        <w:jc w:val="both"/>
        <w:rPr>
          <w:rStyle w:val="Ruller5"/>
          <w:rFonts w:cs="David"/>
          <w:b/>
          <w:bCs/>
          <w:sz w:val="24"/>
          <w:szCs w:val="24"/>
        </w:rPr>
      </w:pP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לצורך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הגנה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עצמית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לצורך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הגנה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Style w:val="Ruller5"/>
          <w:rFonts w:cs="David"/>
          <w:b/>
          <w:bCs/>
          <w:sz w:val="24"/>
          <w:szCs w:val="24"/>
          <w:rtl w:val="true"/>
        </w:rPr>
        <w:t>'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חמולה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',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אליהם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משתייך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. </w:t>
        <w:br/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לצורך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ספורט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ציד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שעשוע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. </w:t>
        <w:br/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Ruller5"/>
          <w:rFonts w:cs="David"/>
          <w:b/>
          <w:bCs/>
          <w:sz w:val="24"/>
          <w:szCs w:val="24"/>
          <w:rtl w:val="true"/>
        </w:rPr>
        <w:t>-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בתור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מזכרת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כאספן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כלים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כאלה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. </w:t>
      </w:r>
    </w:p>
    <w:p>
      <w:pPr>
        <w:pStyle w:val="Ruller51"/>
        <w:spacing w:lineRule="auto" w:line="360"/>
        <w:ind w:end="1282"/>
        <w:jc w:val="both"/>
        <w:rPr>
          <w:rStyle w:val="Ruller5"/>
          <w:rFonts w:cs="David"/>
          <w:sz w:val="24"/>
          <w:szCs w:val="24"/>
        </w:rPr>
      </w:pP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ח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שפג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תוקף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רישיונו</w:t>
      </w:r>
      <w:r>
        <w:rPr>
          <w:rStyle w:val="Ruller5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והנאשם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נמנע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מלחדש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הרישיון</w:t>
      </w:r>
      <w:r>
        <w:rPr>
          <w:rStyle w:val="Ruller5"/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Ruller5"/>
          <w:rFonts w:cs="David"/>
          <w:b/>
          <w:b/>
          <w:bCs/>
          <w:sz w:val="24"/>
          <w:sz w:val="24"/>
          <w:szCs w:val="24"/>
          <w:rtl w:val="true"/>
        </w:rPr>
        <w:t>בעתו</w:t>
      </w:r>
      <w:r>
        <w:rPr>
          <w:rStyle w:val="Ruller5"/>
          <w:rFonts w:cs="David"/>
          <w:b/>
          <w:bCs/>
          <w:sz w:val="24"/>
          <w:szCs w:val="24"/>
          <w:rtl w:val="true"/>
        </w:rPr>
        <w:t>.</w:t>
      </w:r>
      <w:r>
        <w:rPr>
          <w:rStyle w:val="Ruller5"/>
          <w:rFonts w:cs="David"/>
          <w:sz w:val="24"/>
          <w:szCs w:val="24"/>
          <w:rtl w:val="true"/>
        </w:rPr>
        <w:t>"</w:t>
      </w:r>
    </w:p>
    <w:p>
      <w:pPr>
        <w:pStyle w:val="Ruller51"/>
        <w:spacing w:lineRule="auto" w:line="360"/>
        <w:ind w:end="1282"/>
        <w:jc w:val="both"/>
        <w:rPr>
          <w:rFonts w:ascii="Arial" w:hAnsi="Arial" w:cs="Arial"/>
        </w:rPr>
      </w:pPr>
      <w:r>
        <w:rPr>
          <w:rStyle w:val="Ruller5"/>
          <w:rFonts w:cs="David"/>
          <w:sz w:val="24"/>
          <w:szCs w:val="24"/>
          <w:rtl w:val="true"/>
        </w:rPr>
        <w:br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העליון עמד ב</w:t>
      </w:r>
      <w:hyperlink r:id="rId1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 </w:t>
        </w:r>
        <w:r>
          <w:rPr>
            <w:rStyle w:val="Hyperlink"/>
            <w:rFonts w:cs="Arial" w:ascii="Arial" w:hAnsi="Arial"/>
          </w:rPr>
          <w:t>8416/09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 ישראל נגד מחמוד חרבוש</w:t>
      </w:r>
      <w:r>
        <w:rPr>
          <w:rFonts w:ascii="Arial" w:hAnsi="Arial" w:cs="Arial"/>
          <w:u w:val="single"/>
          <w:rtl w:val="true"/>
        </w:rPr>
        <w:t xml:space="preserve"> ואח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9.6.10</w:t>
      </w:r>
      <w:r>
        <w:rPr>
          <w:b/>
          <w:bCs/>
          <w:rtl w:val="true"/>
        </w:rPr>
        <w:t>))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חומרת עבירת החזקת נשק ועל מדיניות הענישה המתבקשת</w:t>
      </w:r>
      <w:r>
        <w:rPr>
          <w:rFonts w:cs="Arial" w:ascii="Arial" w:hAnsi="Arial"/>
          <w:rtl w:val="true"/>
        </w:rPr>
        <w:t>:</w:t>
      </w:r>
    </w:p>
    <w:p>
      <w:pPr>
        <w:pStyle w:val="Ruller41"/>
        <w:tabs>
          <w:tab w:val="left" w:pos="720" w:leader="none"/>
        </w:tabs>
        <w:ind w:start="1644" w:end="902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לרוב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שמעצם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כרוכות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כשעסקינן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שהעולם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הפלילי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המעורבים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בערעור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שלפנינו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משתיק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המוחבא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במקום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טבעי</w:t>
      </w:r>
      <w:r>
        <w:rPr>
          <w:rFonts w:cs="David"/>
          <w:b/>
          <w:bCs/>
          <w:sz w:val="24"/>
          <w:szCs w:val="24"/>
          <w:rtl w:val="true"/>
        </w:rPr>
        <w:t xml:space="preserve">",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מקבלים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הדברים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תוקף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שציינה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הנשיאה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ביניש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המציאות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השוררת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בארץ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המתבטאת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בזמינותו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ורב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עוצמה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עמו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פוטנציאל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להסלמת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האלימות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העבריינית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מחייבת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מתן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עונשי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הולם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והחמרה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ברמת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</w:rPr>
        <w:t>1332/04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פס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</w:rPr>
        <w:t>4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color w:val="000000"/>
          <w:sz w:val="24"/>
          <w:szCs w:val="24"/>
        </w:rPr>
        <w:t>19.4.04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)).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לעשות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עוד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בטרם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ייעשה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באקדח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שימוש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קטלני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באמצעות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הרחקת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המחזיק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החברה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לפרק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זמן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והעברת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מסר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מרתיע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באמצעות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ממשי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לריצוי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בפועל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למשל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3361/08</w:t>
        </w:r>
      </w:hyperlink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color w:val="000000"/>
          <w:sz w:val="24"/>
          <w:szCs w:val="24"/>
        </w:rPr>
        <w:t>27.7.08</w:t>
      </w:r>
      <w:r>
        <w:rPr>
          <w:rFonts w:cs="David"/>
          <w:b/>
          <w:bCs/>
          <w:color w:val="000000"/>
          <w:sz w:val="24"/>
          <w:szCs w:val="24"/>
          <w:rtl w:val="true"/>
        </w:rPr>
        <w:t>) (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להלן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עניין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'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); </w:t>
      </w:r>
      <w:hyperlink r:id="rId12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5220/09</w:t>
        </w:r>
      </w:hyperlink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עוואודה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color w:val="000000"/>
          <w:sz w:val="24"/>
          <w:szCs w:val="24"/>
        </w:rPr>
        <w:t>30.12.09</w:t>
      </w:r>
      <w:r>
        <w:rPr>
          <w:rFonts w:cs="David"/>
          <w:b/>
          <w:bCs/>
          <w:color w:val="000000"/>
          <w:sz w:val="24"/>
          <w:szCs w:val="24"/>
          <w:rtl w:val="true"/>
        </w:rPr>
        <w:t>)). "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ככלל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ב</w:t>
      </w:r>
      <w:hyperlink r:id="rId13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5220/09</w:t>
        </w:r>
      </w:hyperlink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u w:val="single"/>
          <w:rtl w:val="true"/>
        </w:rPr>
        <w:t>הייתם</w:t>
      </w:r>
      <w:r>
        <w:rPr>
          <w:rFonts w:eastAsia="Arial TUR;Arial" w:cs="Arial TUR;Arial"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u w:val="single"/>
          <w:rtl w:val="true"/>
        </w:rPr>
        <w:t>עואודה</w:t>
      </w:r>
      <w:r>
        <w:rPr>
          <w:rFonts w:eastAsia="Arial TUR;Arial" w:cs="Arial TUR;Arial"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u w:val="single"/>
          <w:rtl w:val="true"/>
        </w:rPr>
        <w:t>נגד</w:t>
      </w:r>
      <w:r>
        <w:rPr>
          <w:rFonts w:eastAsia="Arial TUR;Arial" w:cs="Arial TUR;Arial"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u w:val="single"/>
          <w:rtl w:val="true"/>
        </w:rPr>
        <w:t>מדינת</w:t>
      </w:r>
      <w:r>
        <w:rPr>
          <w:rFonts w:eastAsia="Arial TUR;Arial" w:cs="Arial TUR;Arial"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u w:val="single"/>
          <w:rtl w:val="true"/>
        </w:rPr>
        <w:t>ישראל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  <w:rtl w:val="true"/>
        </w:rPr>
        <w:t>(</w:t>
      </w:r>
      <w:r>
        <w:rPr>
          <w:rFonts w:cs="David" w:ascii="Times New Roman" w:hAnsi="Times New Roman"/>
          <w:color w:val="000000"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color w:val="000000"/>
          <w:spacing w:val="0"/>
          <w:sz w:val="24"/>
          <w:szCs w:val="24"/>
          <w:rtl w:val="true"/>
        </w:rPr>
        <w:t>]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Cs w:val="24"/>
        </w:rPr>
        <w:t>30.12.09</w:t>
      </w:r>
      <w:r>
        <w:rPr>
          <w:rFonts w:cs="David"/>
          <w:color w:val="000000"/>
          <w:sz w:val="24"/>
          <w:szCs w:val="24"/>
          <w:rtl w:val="true"/>
        </w:rPr>
        <w:t xml:space="preserve">), </w:t>
      </w:r>
      <w:r>
        <w:rPr>
          <w:rFonts w:cs="David"/>
          <w:color w:val="000000"/>
          <w:sz w:val="24"/>
          <w:sz w:val="24"/>
          <w:szCs w:val="24"/>
          <w:rtl w:val="true"/>
        </w:rPr>
        <w:t>נדון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עניינו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נאשם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שהודה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במסגרת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הסדר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טיעון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והורשע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בעבירה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ותחמושת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ללא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רישיון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תשעה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9615/09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u w:val="single"/>
          <w:rtl w:val="true"/>
        </w:rPr>
        <w:t>אשרף חטיב נ</w:t>
      </w:r>
      <w:r>
        <w:rPr>
          <w:color w:val="000000"/>
          <w:u w:val="single"/>
          <w:rtl w:val="true"/>
        </w:rPr>
        <w:t xml:space="preserve">. </w:t>
      </w:r>
      <w:r>
        <w:rPr>
          <w:color w:val="000000"/>
          <w:u w:val="single"/>
          <w:rtl w:val="true"/>
        </w:rPr>
        <w:t>מדינת ישראל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([</w:t>
      </w:r>
      <w:r>
        <w:rPr>
          <w:color w:val="000000"/>
          <w:rtl w:val="true"/>
        </w:rPr>
        <w:t>פורסם בנבו</w:t>
      </w:r>
      <w:r>
        <w:rPr>
          <w:color w:val="000000"/>
          <w:rtl w:val="true"/>
        </w:rPr>
        <w:t xml:space="preserve">], </w:t>
      </w:r>
      <w:r>
        <w:rPr>
          <w:color w:val="000000"/>
        </w:rPr>
        <w:t>14.4.10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נדון עניינו של רופא שיניים אשר הורשע על פי הודאתו בהחזקת 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מחסנית ותחמושת שלא כדין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 המשפט העליון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קבע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המערער באותו מקרה ישא את עונשו </w:t>
      </w:r>
      <w:r>
        <w:rPr>
          <w:color w:val="000000"/>
          <w:rtl w:val="true"/>
        </w:rPr>
        <w:t>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בעבודות 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 המשפט התחשב בכך כי הנאשם הינו רופא שיניים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שנמצא מחזיק באקדח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מחסנית ותחמושת שלא כדין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>
          <w:color w:val="000000"/>
        </w:rPr>
      </w:pP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16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א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152/08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u w:val="single"/>
          <w:rtl w:val="true"/>
        </w:rPr>
        <w:t>אחמד עואודה נ</w:t>
      </w:r>
      <w:r>
        <w:rPr>
          <w:color w:val="000000"/>
          <w:u w:val="single"/>
          <w:rtl w:val="true"/>
        </w:rPr>
        <w:t xml:space="preserve">. </w:t>
      </w:r>
      <w:r>
        <w:rPr>
          <w:color w:val="000000"/>
          <w:u w:val="single"/>
          <w:rtl w:val="true"/>
        </w:rPr>
        <w:t>מדינת ישראל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([</w:t>
      </w:r>
      <w:r>
        <w:rPr>
          <w:color w:val="000000"/>
          <w:rtl w:val="true"/>
        </w:rPr>
        <w:t>פורסם בנבו</w:t>
      </w:r>
      <w:r>
        <w:rPr>
          <w:color w:val="000000"/>
          <w:rtl w:val="true"/>
        </w:rPr>
        <w:t xml:space="preserve">], </w:t>
      </w:r>
      <w:r>
        <w:rPr>
          <w:color w:val="000000"/>
        </w:rPr>
        <w:t>24.6.08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 xml:space="preserve">נדון עניינו של נאשם שהורשע בבית משפט השלום בעבירות נשק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אקדח בתוכו מחסנית טעונה 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כדורים וכן החזקת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ונדון למאסר בפועל למשך שנה ולעונשים נלווים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בית המשפט המחוזי החליט לקבל את הערעור ולהסתפק בששה חודשי מאסר שירוצו בעבודות שירות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 מרכז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3165-12-08</w:t>
        </w:r>
      </w:hyperlink>
      <w:r>
        <w:rPr>
          <w:b/>
          <w:bCs/>
          <w:rtl w:val="true"/>
        </w:rPr>
        <w:t xml:space="preserve"> </w:t>
      </w:r>
      <w:r>
        <w:rPr>
          <w:u w:val="single"/>
          <w:rtl w:val="true"/>
        </w:rPr>
        <w:t>מדינת ישראל 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אזולאי</w:t>
      </w:r>
      <w:r>
        <w:rPr>
          <w:b/>
          <w:b/>
          <w:bCs/>
          <w:rtl w:val="true"/>
        </w:rPr>
        <w:t xml:space="preserve"> </w:t>
      </w:r>
      <w:r>
        <w:rPr>
          <w:color w:val="000000"/>
          <w:rtl w:val="true"/>
        </w:rPr>
        <w:t>([</w:t>
      </w:r>
      <w:r>
        <w:rPr>
          <w:color w:val="000000"/>
          <w:rtl w:val="true"/>
        </w:rPr>
        <w:t>פורסם בנבו</w:t>
      </w:r>
      <w:r>
        <w:rPr>
          <w:color w:val="000000"/>
          <w:rtl w:val="true"/>
        </w:rPr>
        <w:t xml:space="preserve">], </w:t>
      </w:r>
      <w:r>
        <w:rPr>
          <w:color w:val="000000"/>
        </w:rPr>
        <w:t>4.1.10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נדון עניינו של 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אשר </w:t>
      </w:r>
      <w:r>
        <w:rPr>
          <w:rFonts w:ascii="David" w:hAnsi="David" w:cs="David"/>
          <w:rtl w:val="true"/>
        </w:rPr>
        <w:t>מלכתחילה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הואשם בעבירה של ניסיון 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ובהתאם להסדר טיעון תוקן כתב האישום כך שהנאשם הודה והורשע בעבירה של הובלת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אישר את הסדר הטיעון והטיל עליו עונש מאסר בפועל לתקופה של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 בניכוי תקופת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ומאסר על תנאי של שנה וקנס בסך </w:t>
      </w:r>
      <w:r>
        <w:rPr>
          <w:rFonts w:cs="David" w:ascii="David" w:hAnsi="David"/>
        </w:rPr>
        <w:t>5000</w:t>
      </w:r>
      <w:r>
        <w:rPr>
          <w:rFonts w:cs="David" w:ascii="David" w:hAnsi="David"/>
          <w:rtl w:val="true"/>
        </w:rPr>
        <w:t xml:space="preserve"> ₪.  </w:t>
      </w:r>
      <w:r>
        <w:rPr>
          <w:rFonts w:ascii="David" w:hAnsi="David" w:cs="David"/>
          <w:rtl w:val="true"/>
        </w:rPr>
        <w:t>בית המשפט התחשב בהעדר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תסקיר שירות מבחן חיובי וגילו הצעיר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 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4145-09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.</w:t>
      </w:r>
      <w:r>
        <w:rPr>
          <w:u w:val="single"/>
          <w:rtl w:val="true"/>
        </w:rPr>
        <w:t>י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פרקליטות מחוז ת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א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פלילי 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חיאב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([</w:t>
      </w:r>
      <w:r>
        <w:rPr>
          <w:color w:val="000000"/>
          <w:rtl w:val="true"/>
        </w:rPr>
        <w:t>פורסם בנבו</w:t>
      </w:r>
      <w:r>
        <w:rPr>
          <w:color w:val="000000"/>
          <w:rtl w:val="true"/>
        </w:rPr>
        <w:t xml:space="preserve">], </w:t>
      </w:r>
      <w:r>
        <w:rPr>
          <w:color w:val="000000"/>
        </w:rPr>
        <w:t>18.2.10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נדון עניינו של 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אשר הורשע על פי הודאתו בעבירה של </w:t>
      </w:r>
      <w:r>
        <w:rPr>
          <w:rtl w:val="true"/>
        </w:rPr>
        <w:t xml:space="preserve">החזקת ונשיאת אקדח גנוב טעון במחסנית שהכילה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התחשב בהיות הנאשם אדם נורמטיבי והטיל עליו עונש של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מתוכם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לריצוי בפועל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7955/06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u w:val="single"/>
          <w:rtl w:val="true"/>
        </w:rPr>
        <w:t>מיסור כרכור נ</w:t>
      </w:r>
      <w:r>
        <w:rPr>
          <w:color w:val="000000"/>
          <w:u w:val="single"/>
          <w:rtl w:val="true"/>
        </w:rPr>
        <w:t xml:space="preserve">' </w:t>
      </w:r>
      <w:r>
        <w:rPr>
          <w:color w:val="000000"/>
          <w:u w:val="single"/>
          <w:rtl w:val="true"/>
        </w:rPr>
        <w:t>מדינת ישראל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([</w:t>
      </w:r>
      <w:r>
        <w:rPr>
          <w:color w:val="000000"/>
          <w:rtl w:val="true"/>
        </w:rPr>
        <w:t>פורסם באתר בית המשפט העליון</w:t>
      </w:r>
      <w:r>
        <w:rPr>
          <w:color w:val="000000"/>
          <w:rtl w:val="true"/>
        </w:rPr>
        <w:t xml:space="preserve">], </w:t>
      </w:r>
      <w:r>
        <w:rPr>
          <w:color w:val="000000"/>
        </w:rPr>
        <w:t>1.1.07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נדחה ערעור אשר הגיש נאשם שהורשע בעבירה של החזקת אקדח גנוב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 גזר דינו של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אשר הטיל עליו 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מהם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 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מותנה</w:t>
      </w:r>
      <w:r>
        <w:rPr>
          <w:color w:val="000000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FrankRuehl" w:hAnsi="FrankRuehl"/>
        </w:rPr>
      </w:pPr>
      <w:r>
        <w:rPr>
          <w:color w:val="000000"/>
          <w:rtl w:val="true"/>
        </w:rPr>
        <w:t>בית המשפט העליון הדגיש את מדיניות הענישה המחמירה המתבקשת בעבירות החזקת נשק ודחה את הערעור בין היתר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מאחר ולנאשם עבר פלילי </w:t>
      </w:r>
      <w:r>
        <w:rPr>
          <w:rFonts w:ascii="FrankRuehl" w:hAnsi="FrankRuehl"/>
          <w:rtl w:val="true"/>
        </w:rPr>
        <w:t>שכלל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עבירת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חבלה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חמורה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בנסיבות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מחמירות</w:t>
      </w:r>
      <w:r>
        <w:rPr>
          <w:rFonts w:ascii="FrankRuehl" w:hAnsi="FrankRuehl"/>
          <w:rtl w:val="true"/>
        </w:rPr>
        <w:t>,</w:t>
      </w:r>
      <w:r>
        <w:rPr>
          <w:rFonts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שהיתה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מלווה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בשימוש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בנשק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חם</w:t>
      </w:r>
      <w:r>
        <w:rPr>
          <w:rFonts w:ascii="FrankRuehl" w:hAnsi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/>
        </w:rPr>
      </w:pPr>
      <w:r>
        <w:rPr>
          <w:color w:val="000000"/>
          <w:spacing w:val="10"/>
          <w:rtl w:val="true"/>
        </w:rPr>
        <w:t>ב</w:t>
      </w:r>
      <w:hyperlink r:id="rId20">
        <w:r>
          <w:rPr>
            <w:rStyle w:val="Hyperlink"/>
            <w:spacing w:val="10"/>
            <w:rtl w:val="true"/>
          </w:rPr>
          <w:t>ע</w:t>
        </w:r>
        <w:r>
          <w:rPr>
            <w:rStyle w:val="Hyperlink"/>
            <w:spacing w:val="10"/>
            <w:rtl w:val="true"/>
          </w:rPr>
          <w:t>"</w:t>
        </w:r>
        <w:r>
          <w:rPr>
            <w:rStyle w:val="Hyperlink"/>
            <w:spacing w:val="10"/>
            <w:rtl w:val="true"/>
          </w:rPr>
          <w:t xml:space="preserve">פ </w:t>
        </w:r>
        <w:r>
          <w:rPr>
            <w:rStyle w:val="Hyperlink"/>
            <w:spacing w:val="10"/>
          </w:rPr>
          <w:t>761/07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u w:val="single"/>
          <w:rtl w:val="true"/>
        </w:rPr>
        <w:t>מדינת ישראל נ</w:t>
      </w:r>
      <w:r>
        <w:rPr>
          <w:color w:val="000000"/>
          <w:u w:val="single"/>
          <w:rtl w:val="true"/>
        </w:rPr>
        <w:t xml:space="preserve">' </w:t>
      </w:r>
      <w:r>
        <w:rPr>
          <w:color w:val="000000"/>
          <w:u w:val="single"/>
          <w:rtl w:val="true"/>
        </w:rPr>
        <w:t>אדרי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 בנבו</w:t>
      </w:r>
      <w:r>
        <w:rPr>
          <w:color w:val="000000"/>
          <w:rtl w:val="true"/>
        </w:rPr>
        <w:t xml:space="preserve">], </w:t>
      </w:r>
      <w:r>
        <w:rPr>
          <w:color w:val="000000"/>
        </w:rPr>
        <w:t>22.2.07</w:t>
      </w:r>
      <w:r>
        <w:rPr>
          <w:color w:val="000000"/>
          <w:rtl w:val="true"/>
        </w:rPr>
        <w:t xml:space="preserve"> </w:t>
      </w:r>
      <w:r>
        <w:rPr>
          <w:color w:val="000000"/>
          <w:spacing w:val="10"/>
          <w:rtl w:val="true"/>
        </w:rPr>
        <w:t>)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בית המשפט קיבל ערעור שהגישה המדינה על קולת העונש וגזר על הנאשם אשר הורשע בהחזקת </w:t>
      </w:r>
      <w:r>
        <w:rPr>
          <w:rFonts w:ascii="FrankRuehl" w:hAnsi="FrankRuehl"/>
          <w:rtl w:val="true"/>
        </w:rPr>
        <w:t>נשק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שלא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כדין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והפרעה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לשוטר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במילוי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תפקידו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</w:rPr>
        <w:t>24</w:t>
      </w:r>
      <w:r>
        <w:rPr>
          <w:rFonts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חודשים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והותיר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עונש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מאסר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מותנה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</w:rPr>
        <w:t>12</w:t>
      </w:r>
      <w:r>
        <w:rPr>
          <w:rFonts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חודשים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על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כנו</w:t>
      </w:r>
      <w:r>
        <w:rPr>
          <w:rFonts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בית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המשפט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העליון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התחשב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בכך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שלנאשם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הרשעות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קודמות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אשר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חלקן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לא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פשוטות</w:t>
      </w:r>
      <w:r>
        <w:rPr>
          <w:rFonts w:ascii="FrankRuehl" w:hAnsi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/>
        </w:rPr>
      </w:pPr>
      <w:r>
        <w:rPr>
          <w:rFonts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FrankRuehl" w:hAnsi="FrankRuehl"/>
          <w:rtl w:val="true"/>
        </w:rPr>
        <w:t>ב</w:t>
      </w:r>
      <w:hyperlink r:id="rId21">
        <w:r>
          <w:rPr>
            <w:rStyle w:val="Hyperlink"/>
            <w:rFonts w:ascii="FrankRuehl" w:hAnsi="FrankRuehl"/>
            <w:rtl w:val="true"/>
          </w:rPr>
          <w:t>ת</w:t>
        </w:r>
        <w:r>
          <w:rPr>
            <w:rStyle w:val="Hyperlink"/>
            <w:rFonts w:ascii="FrankRuehl" w:hAnsi="FrankRuehl"/>
            <w:rtl w:val="true"/>
          </w:rPr>
          <w:t>"</w:t>
        </w:r>
        <w:r>
          <w:rPr>
            <w:rStyle w:val="Hyperlink"/>
            <w:rFonts w:ascii="FrankRuehl" w:hAnsi="FrankRuehl"/>
            <w:rtl w:val="true"/>
          </w:rPr>
          <w:t>פ</w:t>
        </w:r>
        <w:r>
          <w:rPr>
            <w:rStyle w:val="Hyperlink"/>
            <w:rFonts w:ascii="FrankRuehl" w:hAnsi="FrankRuehl" w:eastAsia="FrankRuehl" w:cs="FrankRuehl"/>
            <w:rtl w:val="true"/>
          </w:rPr>
          <w:t xml:space="preserve"> </w:t>
        </w:r>
        <w:r>
          <w:rPr>
            <w:rStyle w:val="Hyperlink"/>
            <w:rFonts w:ascii="FrankRuehl" w:hAnsi="FrankRuehl"/>
            <w:rtl w:val="true"/>
          </w:rPr>
          <w:t>(</w:t>
        </w:r>
        <w:r>
          <w:rPr>
            <w:rStyle w:val="Hyperlink"/>
            <w:rFonts w:ascii="FrankRuehl" w:hAnsi="FrankRuehl"/>
            <w:rtl w:val="true"/>
          </w:rPr>
          <w:t>נצ</w:t>
        </w:r>
        <w:r>
          <w:rPr>
            <w:rStyle w:val="Hyperlink"/>
            <w:rFonts w:ascii="FrankRuehl" w:hAnsi="FrankRuehl"/>
            <w:rtl w:val="true"/>
          </w:rPr>
          <w:t xml:space="preserve">') </w:t>
        </w:r>
        <w:r>
          <w:rPr>
            <w:rStyle w:val="Hyperlink"/>
            <w:rFonts w:ascii="FrankRuehl" w:hAnsi="FrankRuehl"/>
          </w:rPr>
          <w:t>3/10</w:t>
        </w:r>
      </w:hyperlink>
      <w:r>
        <w:rPr>
          <w:rFonts w:ascii="FrankRuehl" w:hAnsi="FrankRuehl"/>
          <w:rtl w:val="true"/>
        </w:rPr>
        <w:t xml:space="preserve"> </w:t>
      </w:r>
      <w:r>
        <w:rPr>
          <w:rFonts w:ascii="FrankRuehl" w:hAnsi="FrankRuehl"/>
          <w:u w:val="single"/>
          <w:rtl w:val="true"/>
        </w:rPr>
        <w:t>מדינת</w:t>
      </w:r>
      <w:r>
        <w:rPr>
          <w:rFonts w:ascii="FrankRuehl" w:hAnsi="FrankRuehl" w:eastAsia="FrankRuehl" w:cs="FrankRuehl"/>
          <w:u w:val="single"/>
          <w:rtl w:val="true"/>
        </w:rPr>
        <w:t xml:space="preserve"> </w:t>
      </w:r>
      <w:r>
        <w:rPr>
          <w:rFonts w:ascii="FrankRuehl" w:hAnsi="FrankRuehl"/>
          <w:u w:val="single"/>
          <w:rtl w:val="true"/>
        </w:rPr>
        <w:t>ישראל</w:t>
      </w:r>
      <w:r>
        <w:rPr>
          <w:rFonts w:ascii="FrankRuehl" w:hAnsi="FrankRuehl" w:eastAsia="FrankRuehl" w:cs="FrankRuehl"/>
          <w:u w:val="single"/>
          <w:rtl w:val="true"/>
        </w:rPr>
        <w:t xml:space="preserve"> </w:t>
      </w:r>
      <w:r>
        <w:rPr>
          <w:rFonts w:ascii="FrankRuehl" w:hAnsi="FrankRuehl"/>
          <w:u w:val="single"/>
          <w:rtl w:val="true"/>
        </w:rPr>
        <w:t>נ</w:t>
      </w:r>
      <w:r>
        <w:rPr>
          <w:rFonts w:ascii="FrankRuehl" w:hAnsi="FrankRuehl"/>
          <w:u w:val="single"/>
          <w:rtl w:val="true"/>
        </w:rPr>
        <w:t xml:space="preserve">' </w:t>
      </w:r>
      <w:r>
        <w:rPr>
          <w:rFonts w:ascii="FrankRuehl" w:hAnsi="FrankRuehl"/>
          <w:u w:val="single"/>
          <w:rtl w:val="true"/>
        </w:rPr>
        <w:t>מוחמד</w:t>
      </w:r>
      <w:r>
        <w:rPr>
          <w:rFonts w:ascii="FrankRuehl" w:hAnsi="FrankRuehl" w:eastAsia="FrankRuehl" w:cs="FrankRuehl"/>
          <w:u w:val="single"/>
          <w:rtl w:val="true"/>
        </w:rPr>
        <w:t xml:space="preserve"> </w:t>
      </w:r>
      <w:r>
        <w:rPr>
          <w:rFonts w:ascii="FrankRuehl" w:hAnsi="FrankRuehl"/>
          <w:u w:val="single"/>
          <w:rtl w:val="true"/>
        </w:rPr>
        <w:t>בן</w:t>
      </w:r>
      <w:r>
        <w:rPr>
          <w:rFonts w:ascii="FrankRuehl" w:hAnsi="FrankRuehl" w:eastAsia="FrankRuehl" w:cs="FrankRuehl"/>
          <w:u w:val="single"/>
          <w:rtl w:val="true"/>
        </w:rPr>
        <w:t xml:space="preserve"> </w:t>
      </w:r>
      <w:r>
        <w:rPr>
          <w:rFonts w:ascii="FrankRuehl" w:hAnsi="FrankRuehl"/>
          <w:u w:val="single"/>
          <w:rtl w:val="true"/>
        </w:rPr>
        <w:t>מרעי</w:t>
      </w:r>
      <w:r>
        <w:rPr>
          <w:rFonts w:ascii="FrankRuehl" w:hAnsi="FrankRuehl" w:eastAsia="FrankRuehl" w:cs="FrankRuehl"/>
          <w:u w:val="single"/>
          <w:rtl w:val="true"/>
        </w:rPr>
        <w:t xml:space="preserve"> </w:t>
      </w:r>
      <w:r>
        <w:rPr>
          <w:rFonts w:ascii="FrankRuehl" w:hAnsi="FrankRuehl"/>
          <w:u w:val="single"/>
          <w:rtl w:val="true"/>
        </w:rPr>
        <w:t>אסמאעיל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(</w:t>
      </w:r>
      <w:r>
        <w:rPr>
          <w:spacing w:val="10"/>
          <w:rtl w:val="true"/>
        </w:rPr>
        <w:t>(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/>
        <w:t>29.4.10</w:t>
      </w:r>
      <w:r>
        <w:rPr>
          <w:spacing w:val="1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בהחזקת אקדח ובמחסנית ובה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ובעבירה של הסתייעות ברכב לביצוע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Times New Roman"/>
          <w:color w:val="FF0000"/>
        </w:rPr>
      </w:pPr>
      <w:r>
        <w:rPr>
          <w:rFonts w:ascii="Arial" w:hAnsi="Arial" w:cs="Arial"/>
          <w:rtl w:val="true"/>
        </w:rPr>
        <w:t xml:space="preserve">בית המשפט הטיל עליו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לנשיאה בפועל וקנס בסך </w:t>
      </w:r>
      <w:r>
        <w:rPr>
          <w:rFonts w:cs="Arial" w:ascii="Arial" w:hAnsi="Arial"/>
        </w:rPr>
        <w:t>10000</w:t>
      </w:r>
      <w:r>
        <w:rPr>
          <w:rFonts w:cs="Arial" w:ascii="Arial" w:hAnsi="Arial"/>
          <w:rtl w:val="true"/>
        </w:rPr>
        <w:t xml:space="preserve"> ₪.</w:t>
      </w:r>
      <w:r>
        <w:rPr>
          <w:rFonts w:cs="Arial" w:ascii="Arial" w:hAnsi="Arial"/>
          <w:color w:val="FF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0000"/>
          <w:u w:val="single"/>
        </w:rPr>
      </w:pPr>
      <w:r>
        <w:rPr>
          <w:rFonts w:cs="Arial" w:ascii="Arial" w:hAnsi="Arial"/>
          <w:b/>
          <w:bCs/>
          <w:color w:val="FF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מן הכלל אל הפרט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החזיק בביתו </w:t>
      </w:r>
      <w:r>
        <w:rPr>
          <w:rFonts w:ascii="Arial" w:hAnsi="Arial" w:cs="Arial"/>
          <w:u w:val="single"/>
          <w:rtl w:val="true"/>
        </w:rPr>
        <w:t>שני אקדחים טעונים</w:t>
      </w:r>
      <w:r>
        <w:rPr>
          <w:rFonts w:ascii="Arial" w:hAnsi="Arial" w:cs="Arial"/>
          <w:rtl w:val="true"/>
        </w:rPr>
        <w:t xml:space="preserve"> והשליכם מחלון המרפסת כאשר הופיעו השוטרים בביתו לצורך עריכת חיפוש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 המשפט במחוז הצפון עדים לתופעה שהפכה למכת מדינה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ציבור רחב מחזיק בכלי נשק באופן בלתי חוקי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תחושת חוסר הביטחון גוברת ככל שכלי נשק רבים יותר נמצאים בידיים בלתי מורשות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בתופעה המזינה את עצמה באופן שככל שרבים יותר מחזיקים בכלי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ישנם אחרים החשים תחושת פחד ואימה ומוצאים עצמם אף הם מצטיידים בכלי משחית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החזקת כלי נשק שלא כדין יש בה משום מימד של פגיעה בשלטון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רשויות המדינה מחד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להגביר את נוכחות אנשי המשטרה ומאידך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באופן נחרץ על מנת להכחיד את התופעה של החזקת כלי נשק שלא כדין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 גם  בעבירה של שיבוש מהלכי משפט עבירה חמורה אשר יש גם בה יש  משום חתירה תחת  שלטון החוק והסדר החברתי הראוי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בבוא בית המשפט לגזור את דינם של הנאשמים</w:t>
      </w:r>
      <w:r>
        <w:rPr>
          <w:rtl w:val="true"/>
        </w:rPr>
        <w:t xml:space="preserve">, </w:t>
      </w:r>
      <w:r>
        <w:rPr>
          <w:rtl w:val="true"/>
        </w:rPr>
        <w:t>עליו לתת דעתו להרתעת הנאשמים שבפניו ולהרתעת נאשמים אחרים העלולים ללכת בדרכם של נאשמים 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חרף עקרון הענישה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הרי שבכל תיק</w:t>
      </w:r>
      <w:r>
        <w:rPr>
          <w:rtl w:val="true"/>
        </w:rPr>
        <w:t xml:space="preserve">, </w:t>
      </w:r>
      <w:r>
        <w:rPr>
          <w:rtl w:val="true"/>
        </w:rPr>
        <w:t>ובכל עניין של נאשם</w:t>
      </w:r>
      <w:r>
        <w:rPr>
          <w:rtl w:val="true"/>
        </w:rPr>
        <w:t xml:space="preserve">, </w:t>
      </w:r>
      <w:r>
        <w:rPr>
          <w:rtl w:val="true"/>
        </w:rPr>
        <w:t>על בית המשפט לעשות את האיזון הראוי בין חומרת המעשה לבין הנסיבות האישיות הספציפיות של הנאשם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נסיבות המעשה פורטו בהרחבה בהכרעת הדין ואילו נסיבות העושה</w:t>
      </w:r>
      <w:r>
        <w:rPr>
          <w:rtl w:val="true"/>
        </w:rPr>
        <w:t xml:space="preserve">, </w:t>
      </w:r>
      <w:r>
        <w:rPr>
          <w:rtl w:val="true"/>
        </w:rPr>
        <w:t>פורטו בתסקיר שירות המבחן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לתינוקת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כפר גם בפני שירות המבחן באישומים נגדו וטען כי אדם אחר הפלילו ועשה זאת במטרה להתנכל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לא בא בהמלצה טיפולית ביחס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מצא כי קיים סיכוי להישנות מקרים דומים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עיון בגיליון הרשעותיו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 כי לנאשם עבירות קודמות בין היתר בגין תקיפה  בתנאים מחמירים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במזיד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הרשעתו האחרונה היא משנת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. </w:t>
      </w:r>
      <w:r>
        <w:rPr>
          <w:rFonts w:ascii="Arial" w:hAnsi="Arial" w:cs="Arial"/>
          <w:rtl w:val="true"/>
        </w:rPr>
        <w:t>יודגש כי הנאשם שהה בחו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במשך השנים האחרונות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זה לא שמורה ההקלה השמורה לנאשמים המודים והחוסכים מזמנו של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חזרתי ונתתי דעתי מחד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לנסיבותיו האישיות של הנאשם ומאידך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האינטרס הציבורי המחייב ענישה מחמירה והעברת מסר ברור לציבור כי אין להחזיק בכלי 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ער לרמת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שפירטתי בתחילת גזר הדין אולם אני סבור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הגיעה העת לקביעת רף ענישה גבוה יותר בגין עבירות הקשורות בכלי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u w:val="single"/>
          <w:rtl w:val="true"/>
        </w:rPr>
        <w:t>לאחר ששמעתי את טיעוני הצדדים לעונש</w:t>
      </w:r>
      <w:r>
        <w:rPr>
          <w:b/>
          <w:bCs/>
          <w:szCs w:val="24"/>
          <w:u w:val="single"/>
          <w:rtl w:val="true"/>
        </w:rPr>
        <w:t xml:space="preserve">, </w:t>
      </w:r>
      <w:r>
        <w:rPr>
          <w:b/>
          <w:b/>
          <w:bCs/>
          <w:szCs w:val="24"/>
          <w:u w:val="single"/>
          <w:rtl w:val="true"/>
        </w:rPr>
        <w:t>אני דן את הנאשם לעונשים הבאים</w:t>
      </w:r>
      <w:r>
        <w:rPr>
          <w:b/>
          <w:bCs/>
          <w:szCs w:val="24"/>
          <w:rtl w:val="true"/>
        </w:rPr>
        <w:t>: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</w:rPr>
        <w:t>1</w:t>
      </w:r>
      <w:r>
        <w:rPr>
          <w:szCs w:val="24"/>
          <w:rtl w:val="true"/>
        </w:rPr>
        <w:t>.</w:t>
        <w:tab/>
      </w:r>
      <w:r>
        <w:rPr>
          <w:szCs w:val="24"/>
          <w:rtl w:val="true"/>
        </w:rPr>
        <w:t xml:space="preserve">אני מטיל על הנאשם מאסר לתקופה של  </w:t>
      </w:r>
      <w:r>
        <w:rPr>
          <w:szCs w:val="24"/>
        </w:rPr>
        <w:t>36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מהם </w:t>
      </w:r>
      <w:r>
        <w:rPr>
          <w:szCs w:val="24"/>
        </w:rPr>
        <w:t>24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 בפועל והיתרה על 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למשך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והתנאי שלא יעבור ויורשע על העבירות בהן הורשע בתיק זה</w:t>
      </w:r>
      <w:r>
        <w:rPr>
          <w:szCs w:val="24"/>
          <w:rtl w:val="true"/>
        </w:rPr>
        <w:t xml:space="preserve">. </w:t>
      </w:r>
    </w:p>
    <w:p>
      <w:pPr>
        <w:pStyle w:val="BodyText2"/>
        <w:ind w:firstLine="720" w:end="0"/>
        <w:jc w:val="both"/>
        <w:rPr>
          <w:szCs w:val="24"/>
        </w:rPr>
      </w:pPr>
      <w:r>
        <w:rPr>
          <w:szCs w:val="24"/>
          <w:rtl w:val="true"/>
        </w:rPr>
        <w:t>ממניין ימי המאסר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יופחתו ימי המעצר בגין תיק זה </w:t>
      </w:r>
      <w:r>
        <w:rPr>
          <w:szCs w:val="24"/>
          <w:rtl w:val="true"/>
        </w:rPr>
        <w:t xml:space="preserve">- </w:t>
      </w:r>
      <w:r>
        <w:rPr>
          <w:szCs w:val="24"/>
          <w:rtl w:val="true"/>
        </w:rPr>
        <w:t xml:space="preserve">מיום </w:t>
      </w:r>
      <w:r>
        <w:rPr>
          <w:szCs w:val="24"/>
        </w:rPr>
        <w:t>21.1.10</w:t>
      </w:r>
      <w:r>
        <w:rPr>
          <w:szCs w:val="24"/>
          <w:rtl w:val="true"/>
        </w:rPr>
        <w:t xml:space="preserve"> .</w:t>
      </w:r>
    </w:p>
    <w:p>
      <w:pPr>
        <w:pStyle w:val="Normal"/>
        <w:spacing w:lineRule="auto" w:line="360"/>
        <w:ind w:hanging="720" w:start="720" w:end="0"/>
        <w:jc w:val="start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</w:t>
      </w:r>
      <w:r>
        <w:rPr/>
        <w:t>15,000</w:t>
      </w:r>
      <w:r>
        <w:rPr>
          <w:rtl w:val="true"/>
        </w:rPr>
        <w:t xml:space="preserve"> ₪, </w:t>
      </w:r>
      <w:r>
        <w:rPr>
          <w:rtl w:val="true"/>
        </w:rPr>
        <w:t>או חצי שנת מאסר שישא הנאשם בנוסף לכל מאסר אחר שהוטל עליו</w:t>
      </w:r>
      <w:r>
        <w:rPr>
          <w:rtl w:val="true"/>
        </w:rPr>
        <w:t>.</w:t>
      </w:r>
    </w:p>
    <w:p>
      <w:pPr>
        <w:pStyle w:val="BodyTextIndent"/>
        <w:ind w:end="0"/>
        <w:jc w:val="both"/>
        <w:rPr>
          <w:b w:val="false"/>
          <w:bCs w:val="false"/>
          <w:szCs w:val="24"/>
        </w:rPr>
      </w:pPr>
      <w:r>
        <w:rPr>
          <w:b w:val="false"/>
          <w:b w:val="false"/>
          <w:bCs w:val="false"/>
          <w:szCs w:val="24"/>
          <w:rtl w:val="true"/>
        </w:rPr>
        <w:t xml:space="preserve">הקנס ישולם בתוך </w:t>
      </w:r>
      <w:r>
        <w:rPr>
          <w:b w:val="false"/>
          <w:bCs w:val="false"/>
          <w:szCs w:val="24"/>
        </w:rPr>
        <w:t>60</w:t>
      </w:r>
      <w:r>
        <w:rPr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יום מהיום</w:t>
      </w:r>
      <w:r>
        <w:rPr>
          <w:b w:val="false"/>
          <w:bCs w:val="false"/>
          <w:szCs w:val="24"/>
          <w:rtl w:val="true"/>
        </w:rPr>
        <w:t>.</w:t>
      </w:r>
    </w:p>
    <w:p>
      <w:pPr>
        <w:pStyle w:val="BodyText2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Cs w:val="24"/>
          <w:u w:val="single"/>
        </w:rPr>
      </w:pPr>
      <w:r>
        <w:rPr>
          <w:color w:val="FFFFFF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</w:rPr>
      </w:pPr>
      <w:r>
        <w:rPr>
          <w:color w:val="FFFFFF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2"/>
        <w:ind w:end="0"/>
        <w:jc w:val="both"/>
        <w:rPr>
          <w:b/>
          <w:bCs/>
          <w:szCs w:val="24"/>
          <w:u w:val="single"/>
        </w:rPr>
      </w:pPr>
      <w:r>
        <w:rPr>
          <w:b/>
          <w:b/>
          <w:bCs/>
          <w:szCs w:val="24"/>
          <w:u w:val="single"/>
          <w:rtl w:val="true"/>
        </w:rPr>
        <w:t xml:space="preserve">זכות ערעור תוך </w:t>
      </w:r>
      <w:r>
        <w:rPr>
          <w:b/>
          <w:bCs/>
          <w:szCs w:val="24"/>
          <w:u w:val="single"/>
        </w:rPr>
        <w:t>45</w:t>
      </w:r>
      <w:r>
        <w:rPr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יום מהיום בבית משפט המחוזי בנצרת</w:t>
      </w:r>
      <w:r>
        <w:rPr>
          <w:b/>
          <w:bCs/>
          <w:szCs w:val="24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דורון פורת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בתשרי התשע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20/09/2010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 </w:t>
      </w:r>
    </w:p>
    <w:tbl>
      <w:tblPr>
        <w:bidiVisual w:val="true"/>
        <w:tblW w:w="3420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</w:tblGrid>
      <w:tr>
        <w:trPr>
          <w:cantSplit w:val="true"/>
        </w:trPr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חגית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דהן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/Users/liorb/Downloads/study2025-p2/SH-10-01-37403-993.doc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37403-01-10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וליד עבאס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normal-h">
    <w:name w:val="normal-h"/>
    <w:basedOn w:val="DefaultParagraphFont"/>
    <w:qFormat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ascii="Times New Roman" w:hAnsi="Times New Roman" w:eastAsia="Times New Roman" w:cs="Times New Roman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Indent">
    <w:name w:val="Body Text Indent"/>
    <w:basedOn w:val="Normal"/>
    <w:pPr>
      <w:snapToGrid w:val="false"/>
      <w:spacing w:lineRule="auto" w:line="360"/>
      <w:ind w:hanging="0" w:start="720" w:end="0"/>
      <w:jc w:val="both"/>
    </w:pPr>
    <w:rPr>
      <w:rFonts w:ascii="Times New Roman" w:hAnsi="Times New Roman" w:eastAsia="Times New Roman" w:cs="Times New Roman"/>
      <w:b/>
      <w:bCs/>
      <w:szCs w:val="28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szCs w:val="28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Times New Roman" w:cs="FrankRuehl"/>
      <w:spacing w:val="10"/>
      <w:sz w:val="22"/>
      <w:szCs w:val="28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Times New Roman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case/17929065" TargetMode="External"/><Relationship Id="rId10" Type="http://schemas.openxmlformats.org/officeDocument/2006/relationships/hyperlink" Target="http://www.nevo.co.il/case/5969313" TargetMode="External"/><Relationship Id="rId11" Type="http://schemas.openxmlformats.org/officeDocument/2006/relationships/hyperlink" Target="http://www.nevo.co.il/case/5891605" TargetMode="External"/><Relationship Id="rId12" Type="http://schemas.openxmlformats.org/officeDocument/2006/relationships/hyperlink" Target="http://www.nevo.co.il/case/6000182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case/6156633" TargetMode="External"/><Relationship Id="rId16" Type="http://schemas.openxmlformats.org/officeDocument/2006/relationships/hyperlink" Target="http://www.nevo.co.il/case/642647" TargetMode="External"/><Relationship Id="rId17" Type="http://schemas.openxmlformats.org/officeDocument/2006/relationships/hyperlink" Target="http://www.nevo.co.il/case/4907503" TargetMode="External"/><Relationship Id="rId18" Type="http://schemas.openxmlformats.org/officeDocument/2006/relationships/hyperlink" Target="http://www.nevo.co.il/case/2527372" TargetMode="External"/><Relationship Id="rId19" Type="http://schemas.openxmlformats.org/officeDocument/2006/relationships/hyperlink" Target="http://www.nevo.co.il/case/6104546" TargetMode="External"/><Relationship Id="rId20" Type="http://schemas.openxmlformats.org/officeDocument/2006/relationships/hyperlink" Target="http://www.nevo.co.il/case/5724364" TargetMode="External"/><Relationship Id="rId21" Type="http://schemas.openxmlformats.org/officeDocument/2006/relationships/hyperlink" Target="http://www.nevo.co.il/case/2378964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2016-07-25T16:41:00Z</dcterms:created>
  <dc:creator> </dc:creator>
  <dc:description/>
  <cp:keywords/>
  <dc:language>en-IL</dc:language>
  <cp:lastModifiedBy>run</cp:lastModifiedBy>
  <dcterms:modified xsi:type="dcterms:W3CDTF">2016-07-25T16:41:00Z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וליד עבאס</vt:lpwstr>
  </property>
  <property fmtid="{D5CDD505-2E9C-101B-9397-08002B2CF9AE}" pid="4" name="CASESLISTTMP1">
    <vt:lpwstr>17929065;5969313;5891605;6000182:2;6156633;642647;4907503;2527372;6104546;5724364;2378964</vt:lpwstr>
  </property>
  <property fmtid="{D5CDD505-2E9C-101B-9397-08002B2CF9AE}" pid="5" name="CITY">
    <vt:lpwstr>נצ'</vt:lpwstr>
  </property>
  <property fmtid="{D5CDD505-2E9C-101B-9397-08002B2CF9AE}" pid="6" name="DATE">
    <vt:lpwstr>20100920</vt:lpwstr>
  </property>
  <property fmtid="{D5CDD505-2E9C-101B-9397-08002B2CF9AE}" pid="7" name="ISABSTRACT">
    <vt:lpwstr>Y</vt:lpwstr>
  </property>
  <property fmtid="{D5CDD505-2E9C-101B-9397-08002B2CF9AE}" pid="8" name="JUDGE">
    <vt:lpwstr>דורון פורת</vt:lpwstr>
  </property>
  <property fmtid="{D5CDD505-2E9C-101B-9397-08002B2CF9AE}" pid="9" name="LAWLISTTMP1">
    <vt:lpwstr>70301/144.a;244;144</vt:lpwstr>
  </property>
  <property fmtid="{D5CDD505-2E9C-101B-9397-08002B2CF9AE}" pid="10" name="LAWYER">
    <vt:lpwstr>הובא ו;– הובא ו;אנואר זועבי סעדי;שני וייל</vt:lpwstr>
  </property>
  <property fmtid="{D5CDD505-2E9C-101B-9397-08002B2CF9AE}" pid="11" name="NEWPARTA">
    <vt:lpwstr>37403</vt:lpwstr>
  </property>
  <property fmtid="{D5CDD505-2E9C-101B-9397-08002B2CF9AE}" pid="12" name="NEWPARTB">
    <vt:lpwstr>01</vt:lpwstr>
  </property>
  <property fmtid="{D5CDD505-2E9C-101B-9397-08002B2CF9AE}" pid="13" name="NEWPARTC">
    <vt:lpwstr>10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RemarkFileName">
    <vt:lpwstr>shalom sh 10 01 37403 993 htm</vt:lpwstr>
  </property>
  <property fmtid="{D5CDD505-2E9C-101B-9397-08002B2CF9AE}" pid="17" name="TYPE">
    <vt:lpwstr>3</vt:lpwstr>
  </property>
  <property fmtid="{D5CDD505-2E9C-101B-9397-08002B2CF9AE}" pid="18" name="TYPE_ABS_DATE">
    <vt:lpwstr>380020100920</vt:lpwstr>
  </property>
  <property fmtid="{D5CDD505-2E9C-101B-9397-08002B2CF9AE}" pid="19" name="TYPE_N_DATE">
    <vt:lpwstr>38020100920</vt:lpwstr>
  </property>
  <property fmtid="{D5CDD505-2E9C-101B-9397-08002B2CF9AE}" pid="20" name="WORDNUMPAGES">
    <vt:lpwstr>6</vt:lpwstr>
  </property>
</Properties>
</file>