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7"/>
        <w:gridCol w:w="3662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9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3748-08-23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לדווייה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ל</w:t>
            </w:r>
            <w:r>
              <w:rPr>
                <w:rFonts w:ascii="David" w:hAnsi="David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כבוד השופט  ארנון איתן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</w:rPr>
            </w:pPr>
            <w:bookmarkStart w:id="1" w:name="FirstAppellant"/>
            <w:bookmarkEnd w:id="1"/>
            <w:r>
              <w:rPr>
                <w:rFonts w:ascii="David" w:hAnsi="David"/>
                <w:rtl w:val="true"/>
              </w:rPr>
              <w:t>בעניין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ירושלים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פלילי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הנאשמים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1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מוחמד לידאוויה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</w:rPr>
              <w:t>2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אחמד לידאוויה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  <w:br/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   </w:t>
            </w: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עוה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מוסטאפה יחיא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u w:val="single"/>
              </w:rPr>
            </w:pPr>
            <w:r>
              <w:rPr>
                <w:rFonts w:cs="David" w:ascii="David" w:hAnsi="David"/>
                <w:b/>
                <w:bCs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firstLine="390"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כתב האישום</w:t>
      </w:r>
      <w:r>
        <w:rPr>
          <w:rFonts w:cs="David" w:ascii="David" w:hAnsi="David"/>
          <w:b/>
          <w:bCs/>
          <w:color w:val="000000"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/>
        <w:ind w:hanging="390" w:start="390" w:end="0"/>
        <w:jc w:val="both"/>
        <w:rPr>
          <w:rFonts w:ascii="David" w:hAnsi="David" w:cs="David"/>
          <w:color w:val="000000"/>
        </w:rPr>
      </w:pPr>
      <w:bookmarkStart w:id="7" w:name="ABSTRACT_START"/>
      <w:bookmarkEnd w:id="7"/>
      <w:r>
        <w:rPr>
          <w:rFonts w:ascii="David" w:hAnsi="David"/>
          <w:color w:val="000000"/>
          <w:rtl w:val="true"/>
        </w:rPr>
        <w:t>הנאשמים הורשעו על פי הודאתם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ובמסגרת הסדר טיעון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בכתב אישום מתוקן המייחס להם עבירה של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החזקת נשק לפי </w:t>
      </w:r>
      <w:hyperlink r:id="rId6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רישא ל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color w:val="000000"/>
          <w:rtl w:val="true"/>
        </w:rPr>
        <w:t xml:space="preserve"> תשל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ז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1977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b/>
          <w:b/>
          <w:bCs/>
          <w:color w:val="000000"/>
          <w:rtl w:val="true"/>
        </w:rPr>
        <w:t>חוק העונשין</w:t>
      </w:r>
      <w:r>
        <w:rPr>
          <w:rFonts w:cs="David" w:ascii="David" w:hAnsi="David"/>
          <w:color w:val="000000"/>
          <w:rtl w:val="true"/>
        </w:rPr>
        <w:t>").</w:t>
      </w:r>
    </w:p>
    <w:p>
      <w:pPr>
        <w:pStyle w:val="ListParagraph"/>
        <w:numPr>
          <w:ilvl w:val="0"/>
          <w:numId w:val="2"/>
        </w:numPr>
        <w:spacing w:lineRule="auto" w:line="360"/>
        <w:ind w:hanging="390" w:start="39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 פי המתואר בכתב האישום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עובר ליום </w:t>
      </w:r>
      <w:r>
        <w:rPr>
          <w:rFonts w:cs="David" w:ascii="David" w:hAnsi="David"/>
          <w:color w:val="000000"/>
        </w:rPr>
        <w:t>17.7.2023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 בסמוך לכך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במועד שאינו ידוע במדויק למאשימה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החזיקו הנאשמים נשק מאולתר מסוג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קארלו</w:t>
      </w:r>
      <w:r>
        <w:rPr>
          <w:rFonts w:cs="David" w:ascii="David" w:hAnsi="David"/>
          <w:color w:val="000000"/>
          <w:rtl w:val="true"/>
        </w:rPr>
        <w:t>" 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b/>
          <w:b/>
          <w:bCs/>
          <w:color w:val="000000"/>
          <w:rtl w:val="true"/>
        </w:rPr>
        <w:t>הנשק</w:t>
      </w:r>
      <w:r>
        <w:rPr>
          <w:rFonts w:cs="David" w:ascii="David" w:hAnsi="David"/>
          <w:color w:val="000000"/>
          <w:rtl w:val="true"/>
        </w:rPr>
        <w:t xml:space="preserve">"), </w:t>
      </w:r>
      <w:r>
        <w:rPr>
          <w:rFonts w:ascii="David" w:hAnsi="David"/>
          <w:color w:val="000000"/>
          <w:rtl w:val="true"/>
        </w:rPr>
        <w:t>ומחסנית ריקה תואמת לנשק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בתוך שקית שחורה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/>
        <w:ind w:start="390" w:end="0"/>
        <w:jc w:val="both"/>
        <w:rPr>
          <w:rFonts w:ascii="David" w:hAnsi="David" w:cs="David"/>
          <w:b/>
          <w:bCs/>
          <w:color w:val="000000"/>
          <w:u w:val="single"/>
        </w:rPr>
      </w:pPr>
      <w:r>
        <w:rPr>
          <w:rFonts w:cs="David" w:ascii="David" w:hAnsi="David"/>
          <w:b/>
          <w:bCs/>
          <w:color w:val="000000"/>
          <w:u w:val="single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start="39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ראיות ההגנה לעונש</w:t>
      </w:r>
      <w:r>
        <w:rPr>
          <w:rFonts w:cs="David" w:ascii="David" w:hAnsi="David"/>
          <w:b/>
          <w:bCs/>
          <w:color w:val="000000"/>
          <w:rtl w:val="true"/>
        </w:rPr>
        <w:t>:</w:t>
      </w:r>
      <w:r>
        <w:rPr>
          <w:rFonts w:cs="David" w:ascii="David" w:hAnsi="David"/>
          <w:color w:val="000000"/>
          <w:rtl w:val="true"/>
        </w:rPr>
        <w:t xml:space="preserve"> </w:t>
      </w:r>
    </w:p>
    <w:p>
      <w:pPr>
        <w:pStyle w:val="Normal"/>
        <w:spacing w:lineRule="auto" w:line="360"/>
        <w:ind w:start="39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במסגרת זו העיד אביו של הנאשמים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בסאם לידוואה שמסר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כי לאחרונה איבד את אחד מבניו שנרצח מיריות מתנקשים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 טרם נתפסו הרוצחים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האב הוסיף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כי אנשים שומרי חוק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בבעלותו עסק לאלומיניו</w:t>
      </w:r>
      <w:r>
        <w:rPr>
          <w:rFonts w:ascii="David" w:hAnsi="David"/>
          <w:color w:val="000000"/>
          <w:rtl w:val="true"/>
        </w:rPr>
        <w:t>ם</w:t>
      </w:r>
      <w:r>
        <w:rPr>
          <w:rFonts w:ascii="David" w:hAnsi="David"/>
          <w:color w:val="000000"/>
          <w:rtl w:val="true"/>
        </w:rPr>
        <w:t xml:space="preserve"> ובניו מסייעים לו בתפעול העסק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spacing w:lineRule="auto" w:line="360"/>
        <w:ind w:firstLine="39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תמצית טיעוני הצדדים</w:t>
      </w:r>
    </w:p>
    <w:p>
      <w:pPr>
        <w:pStyle w:val="ListParagraph"/>
        <w:numPr>
          <w:ilvl w:val="0"/>
          <w:numId w:val="2"/>
        </w:numPr>
        <w:spacing w:lineRule="auto" w:line="360"/>
        <w:ind w:hanging="390" w:start="39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המאשימה הפנתה בטיעוניה לכך שבהחזקה בנשק מסוג זה קיימת חומרה יתרה</w:t>
      </w:r>
      <w:r>
        <w:rPr>
          <w:rFonts w:cs="David" w:ascii="David" w:hAnsi="David"/>
          <w:color w:val="000000"/>
          <w:rtl w:val="true"/>
        </w:rPr>
        <w:t xml:space="preserve">,  </w:t>
      </w:r>
      <w:r>
        <w:rPr>
          <w:rFonts w:ascii="David" w:hAnsi="David"/>
          <w:color w:val="000000"/>
          <w:rtl w:val="true"/>
        </w:rPr>
        <w:t>שכן הוא אינו כולל את המנגנונים הקיימים בנשק רגיל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לדבריה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 פגע במספר ערכים מוגנים</w:t>
      </w:r>
      <w:r>
        <w:rPr>
          <w:rFonts w:cs="David" w:ascii="David" w:hAnsi="David"/>
          <w:color w:val="000000"/>
          <w:rtl w:val="true"/>
        </w:rPr>
        <w:t xml:space="preserve">: </w:t>
      </w:r>
      <w:r>
        <w:rPr>
          <w:rFonts w:ascii="David" w:hAnsi="David"/>
          <w:color w:val="000000"/>
          <w:rtl w:val="true"/>
        </w:rPr>
        <w:t>שמירה על גופו של אדם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ביטחון הציבור ושלום הציבור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ובהתאם לפסיקת בית המשפט העליון יש להחמיר בענישה בעבירות 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משום הסיכונים הקיימים מהשימוש וההחזקה בו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ופוטנציאל הסיכון הקיים במעשה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90" w:start="39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המאשימה ביקשה לקבוע מתחם ענישה החל </w:t>
      </w:r>
      <w:r>
        <w:rPr>
          <w:rFonts w:cs="David" w:ascii="David" w:hAnsi="David"/>
          <w:color w:val="000000"/>
        </w:rPr>
        <w:t>24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 ועד 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48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וכן ציינה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כי בהתאם </w:t>
      </w:r>
      <w:hyperlink r:id="rId8">
        <w:r>
          <w:rPr>
            <w:rStyle w:val="Hyperlink"/>
            <w:rFonts w:ascii="David" w:hAnsi="David"/>
            <w:rtl w:val="true"/>
          </w:rPr>
          <w:t>לסעיף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144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יש להטיל עונש מינימום של </w:t>
      </w:r>
      <w:r>
        <w:rPr>
          <w:rFonts w:cs="David" w:ascii="David" w:hAnsi="David"/>
          <w:color w:val="000000"/>
        </w:rPr>
        <w:t>21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צוין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כי הנאשמים נעדרי רישום פלילי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נטלו אחריות על מעשיהם וחסכו זמן שיפוטי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ועל כן יש לקבוע את עונשם בחלק התחתון של מתחם העונש ההולם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כך שיוטל על כל אחד מהם </w:t>
      </w:r>
      <w:r>
        <w:rPr>
          <w:rFonts w:cs="David" w:ascii="David" w:hAnsi="David"/>
          <w:color w:val="000000"/>
        </w:rPr>
        <w:t>28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לצד מאסר על תנאי וקנס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90" w:start="39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הסנגור הפנה לגילם הצעיר של הנאשמים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ילידי </w:t>
      </w:r>
      <w:r>
        <w:rPr>
          <w:rFonts w:cs="David" w:ascii="David" w:hAnsi="David"/>
          <w:color w:val="000000"/>
        </w:rPr>
        <w:t>2001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משך מעצרם בתיק זה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ולכך שמדובר במעצרם הראשון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 ציין כי הנאשמים נטלו אחריות על העבירה בשלב מוקדם של ההליך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 צוין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כי המדובר בהחזקה קצרה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בנשק אשר לא נעשה בו שימוש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ואף תחמושת לא נתפסה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לבד ממחסנית ריקה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ListParagraph"/>
        <w:numPr>
          <w:ilvl w:val="0"/>
          <w:numId w:val="2"/>
        </w:numPr>
        <w:spacing w:lineRule="auto" w:line="360"/>
        <w:ind w:hanging="390" w:start="39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לעניין </w:t>
      </w:r>
      <w:hyperlink r:id="rId10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ascii="David" w:hAnsi="David"/>
            <w:rtl w:val="true"/>
          </w:rPr>
          <w:t>ז</w:t>
        </w:r>
      </w:hyperlink>
      <w:r>
        <w:rPr>
          <w:rFonts w:ascii="David" w:hAnsi="David"/>
          <w:color w:val="000000"/>
          <w:rtl w:val="true"/>
        </w:rPr>
        <w:t xml:space="preserve"> הקובע עונש מינימום של רבע מהעונש המקסימלי ציין הסנגור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כי ניתן לסטות ממנו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וביחס לפגיעה בערכים המוגנים הרי שאלו אינם ברף גבוה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שכן הנשק נתפס בלא תחמושת כך שפוטנציאל הסיכון כלל לא התממש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/>
        <w:ind w:hanging="390" w:start="39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לדעת ההגנה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 לקבוע את המתחם החל מ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חודשים ועד </w:t>
      </w:r>
      <w:r>
        <w:rPr>
          <w:rFonts w:cs="David" w:ascii="David" w:hAnsi="David"/>
          <w:color w:val="000000"/>
        </w:rPr>
        <w:t>20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ואת עונשם של הנאשמים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לקבוע בתחתית המתחם לצד ענישה נלווית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90" w:start="39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הנאשמים הביעו צער על המעשים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והבטיחו כי לא ישובו על המעשה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/>
        <w:ind w:firstLine="390" w:end="0"/>
        <w:jc w:val="both"/>
        <w:rPr>
          <w:rFonts w:ascii="David" w:hAnsi="David" w:cs="David"/>
          <w:b/>
          <w:bCs/>
          <w:color w:val="000000"/>
          <w:u w:val="single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דיון</w:t>
      </w:r>
    </w:p>
    <w:p>
      <w:pPr>
        <w:pStyle w:val="ListParagraph"/>
        <w:numPr>
          <w:ilvl w:val="0"/>
          <w:numId w:val="2"/>
        </w:numPr>
        <w:spacing w:lineRule="auto" w:line="360"/>
        <w:ind w:hanging="390" w:start="39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הערך החברתי המוגן העומד בבסיס עבירות הנשק הינו ההגנה על שלום הציבור וביטחונו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בעבירות מסוג זה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גלום סיכון רב לשימוש בנשק שאינו חוקי על ידי המחזיק בו לצורך ביצוען של עבירות פליליות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והוא עלול להגיע לגורמים עברייניים העוסקים בפעילות פלילית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או אף חמור מכך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לביצוע עבירות ביטחון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90" w:start="39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בבחינת הנסיבות הקשורות בביצוע העבירה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עסקינן בנאשמים שהורשעו בהחזקת כלי נשק שבכוחו להמית אדם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כאשר פרק הזמן בו הוחזק הנשק אינו ידוע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המדובר בנשק מאולתר מסוג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קרלו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ומחסנית תואמת אשר הייתה ריקה מכדורים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/>
        <w:ind w:hanging="390" w:start="39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במסגרת 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5613/20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אלהוזייל נגד 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נבו </w:t>
      </w:r>
      <w:r>
        <w:rPr>
          <w:rFonts w:cs="David" w:ascii="David" w:hAnsi="David"/>
          <w:color w:val="000000"/>
        </w:rPr>
        <w:t>25.8.2020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ציין בית המשפט את הדברים הבאים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spacing w:lineRule="auto" w:line="360"/>
        <w:ind w:start="39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לגופם של דברים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עבירות בנשק הפכו בשנים האחרונות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למרבה הצער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לתופעה נפוצה בקרב אוכלוסיות שונות בחברה הישראלית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המביאה לעתים מזומנות לפגיעה בחפים מפשע ולאובדן חיי אדם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כתוצאה מכך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בית משפט זה שב וקבע כי מתחייבת החמרה ממשית בענישה על עבירות אלו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על מנת לשדר מסר מרתיע מפני ביצוען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ראו למשל ב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4406/19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סובח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פסקאות </w:t>
      </w:r>
      <w:r>
        <w:rPr>
          <w:rFonts w:cs="David" w:ascii="David" w:hAnsi="David"/>
          <w:color w:val="000000"/>
        </w:rPr>
        <w:t>16</w:t>
      </w:r>
      <w:r>
        <w:rPr>
          <w:rFonts w:cs="David" w:ascii="David" w:hAnsi="David"/>
          <w:color w:val="000000"/>
          <w:rtl w:val="true"/>
        </w:rPr>
        <w:t>–</w:t>
      </w:r>
      <w:r>
        <w:rPr>
          <w:rFonts w:cs="David" w:ascii="David" w:hAnsi="David"/>
          <w:color w:val="000000"/>
        </w:rPr>
        <w:t>17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לחוות דעתי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נבו </w:t>
      </w:r>
      <w:r>
        <w:rPr>
          <w:rFonts w:cs="David" w:ascii="David" w:hAnsi="David"/>
          <w:color w:val="000000"/>
        </w:rPr>
        <w:t>5.11.2019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7344/18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מג</w:t>
      </w:r>
      <w:r>
        <w:rPr>
          <w:rFonts w:cs="David" w:ascii="David" w:hAnsi="David"/>
          <w:b/>
          <w:bCs/>
          <w:color w:val="000000"/>
          <w:rtl w:val="true"/>
        </w:rPr>
        <w:t>'</w:t>
      </w:r>
      <w:r>
        <w:rPr>
          <w:rFonts w:ascii="David" w:hAnsi="David"/>
          <w:b/>
          <w:b/>
          <w:bCs/>
          <w:color w:val="000000"/>
          <w:rtl w:val="true"/>
        </w:rPr>
        <w:t>יד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פסקה </w:t>
      </w:r>
      <w:r>
        <w:rPr>
          <w:rFonts w:cs="David" w:ascii="David" w:hAnsi="David"/>
          <w:color w:val="000000"/>
        </w:rPr>
        <w:t>10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 xml:space="preserve">נבו </w:t>
      </w:r>
      <w:r>
        <w:rPr>
          <w:rFonts w:cs="David" w:ascii="David" w:hAnsi="David"/>
          <w:color w:val="000000"/>
        </w:rPr>
        <w:t>21.10.2018</w:t>
      </w:r>
      <w:r>
        <w:rPr>
          <w:rFonts w:cs="David" w:ascii="David" w:hAnsi="David"/>
          <w:color w:val="000000"/>
          <w:rtl w:val="true"/>
        </w:rPr>
        <w:t>))".</w:t>
      </w:r>
    </w:p>
    <w:p>
      <w:pPr>
        <w:pStyle w:val="Normal"/>
        <w:spacing w:lineRule="auto" w:line="360"/>
        <w:ind w:firstLine="39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וראו גם</w:t>
      </w:r>
      <w:r>
        <w:rPr>
          <w:rFonts w:cs="David" w:ascii="David" w:hAnsi="David"/>
          <w:color w:val="000000"/>
          <w:rtl w:val="true"/>
        </w:rPr>
        <w:t xml:space="preserve">: 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8416/09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חרבוש ואח</w:t>
      </w:r>
      <w:r>
        <w:rPr>
          <w:rFonts w:cs="David" w:ascii="David" w:hAnsi="David"/>
          <w:b/>
          <w:bCs/>
          <w:color w:val="000000"/>
          <w:rtl w:val="true"/>
        </w:rPr>
        <w:t>'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 xml:space="preserve">נבו </w:t>
      </w:r>
      <w:r>
        <w:rPr>
          <w:rFonts w:cs="David" w:ascii="David" w:hAnsi="David"/>
          <w:color w:val="000000"/>
        </w:rPr>
        <w:t>9.6.2010</w:t>
      </w:r>
      <w:r>
        <w:rPr>
          <w:rFonts w:cs="David" w:ascii="David" w:hAnsi="David"/>
          <w:color w:val="000000"/>
          <w:rtl w:val="true"/>
        </w:rPr>
        <w:t>):</w:t>
      </w:r>
    </w:p>
    <w:p>
      <w:pPr>
        <w:pStyle w:val="Normal"/>
        <w:spacing w:lineRule="auto" w:line="360"/>
        <w:ind w:start="39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חומרתה של עבירת החזקת הנשק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מקורה בכך שעבירה זאת אינה נעשית לרוב אלא כדי לאפשר ביצוען של עבירות אחרות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שמעצם טבעו של הנשק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כרוכות באלימות או בהפחדה</w:t>
      </w:r>
      <w:r>
        <w:rPr>
          <w:rFonts w:cs="David" w:ascii="David" w:hAnsi="David"/>
          <w:color w:val="000000"/>
          <w:rtl w:val="true"/>
        </w:rPr>
        <w:t xml:space="preserve">. ... </w:t>
      </w:r>
      <w:r>
        <w:rPr>
          <w:rFonts w:ascii="David" w:hAnsi="David"/>
          <w:color w:val="000000"/>
          <w:rtl w:val="true"/>
        </w:rPr>
        <w:t>כפי שציינה חברתי הנשיאה ד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ביניש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המציאות השוררת בארץ המתבטאת בזמינותו של נשק חם ורב עוצמה שיש עמו פוטנציאל להסלמת האלימות העבריינית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מחייבת מתן ביטוי עונשי הולם והחמרה ברמת הענישה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ראו ע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 xml:space="preserve">פ </w:t>
      </w:r>
      <w:hyperlink r:id="rId15">
        <w:r>
          <w:rPr>
            <w:rStyle w:val="Hyperlink"/>
            <w:rFonts w:cs="David" w:ascii="David" w:hAnsi="David"/>
            <w:color w:val="0000FF"/>
            <w:u w:val="single"/>
          </w:rPr>
          <w:t>1332/04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פס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סעיף </w:t>
      </w:r>
      <w:r>
        <w:rPr>
          <w:rFonts w:cs="David" w:ascii="David" w:hAnsi="David"/>
          <w:color w:val="000000"/>
        </w:rPr>
        <w:t>4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 xml:space="preserve">נבו </w:t>
      </w:r>
      <w:r>
        <w:rPr>
          <w:rFonts w:cs="David" w:ascii="David" w:hAnsi="David"/>
          <w:color w:val="000000"/>
        </w:rPr>
        <w:t>19.4.04</w:t>
      </w:r>
      <w:r>
        <w:rPr>
          <w:rFonts w:cs="David" w:ascii="David" w:hAnsi="David"/>
          <w:color w:val="000000"/>
          <w:rtl w:val="true"/>
        </w:rPr>
        <w:t xml:space="preserve">)). </w:t>
      </w:r>
      <w:r>
        <w:rPr>
          <w:rFonts w:ascii="David" w:hAnsi="David"/>
          <w:color w:val="000000"/>
          <w:rtl w:val="true"/>
        </w:rPr>
        <w:t>יש לעשות כן עוד בטרם ייעשה באקדח שימוש קטלני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באמצעות הרחקת המחזיק בו מן החברה לפרק זמן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והעברת מסר מרתיע באמצעות עונש מאסר ממשי לריצוי בפועל</w:t>
      </w:r>
      <w:r>
        <w:rPr>
          <w:rFonts w:cs="David" w:ascii="David" w:hAnsi="David"/>
          <w:color w:val="000000"/>
          <w:rtl w:val="true"/>
        </w:rPr>
        <w:t>...".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90" w:start="39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סקירת מדיניות הענישה הנהוגה בעבירת החזקת נשק מלמדת על טווח ענישה רחב התלוי לרוב בנסיבותיו של כל מקרה ומקרה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545/20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פלוני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נבו </w:t>
      </w:r>
      <w:r>
        <w:rPr>
          <w:rFonts w:cs="David" w:ascii="David" w:hAnsi="David"/>
          <w:color w:val="000000"/>
        </w:rPr>
        <w:t>3.5.21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 xml:space="preserve">נדחה  ערעור על חומרת עונש של נאשם עליו הוטלו 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לאחר שהמערער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נעדר רישום פלילי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הורשע באחזקה</w:t>
      </w:r>
      <w:r>
        <w:rPr>
          <w:rFonts w:cs="David" w:ascii="David" w:hAnsi="David"/>
          <w:color w:val="000000"/>
          <w:rtl w:val="true"/>
        </w:rPr>
        <w:t xml:space="preserve">/ </w:t>
      </w:r>
      <w:r>
        <w:rPr>
          <w:rFonts w:ascii="David" w:hAnsi="David"/>
          <w:color w:val="000000"/>
          <w:rtl w:val="true"/>
        </w:rPr>
        <w:t>נשיאת אקדח ומחסנית תואמת ו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50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כדורים</w:t>
      </w:r>
      <w:r>
        <w:rPr>
          <w:rFonts w:cs="David" w:ascii="David" w:hAnsi="David"/>
          <w:color w:val="000000"/>
          <w:rtl w:val="true"/>
        </w:rPr>
        <w:t>."</w:t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5604/11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נאסר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נבו </w:t>
      </w:r>
      <w:r>
        <w:rPr>
          <w:rFonts w:cs="David" w:ascii="David" w:hAnsi="David"/>
          <w:color w:val="000000"/>
        </w:rPr>
        <w:t>5.10.11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 xml:space="preserve">נדחה ערעור על חומרת עונשו של נאשם עליו הוטלו 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לאחר שהמערער הורשע בביצוע עבירה של החזקת נשק ותחמושת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אקדח ומחסנית לאקדח ובה </w:t>
      </w:r>
      <w:r>
        <w:rPr>
          <w:rFonts w:cs="David" w:ascii="David" w:hAnsi="David"/>
          <w:color w:val="000000"/>
        </w:rPr>
        <w:t>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כדורים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color w:val="000000"/>
        </w:rPr>
      </w:pP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56010-03-18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אלאסד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נבו </w:t>
      </w:r>
      <w:r>
        <w:rPr>
          <w:rFonts w:cs="David" w:ascii="David" w:hAnsi="David"/>
          <w:color w:val="000000"/>
        </w:rPr>
        <w:t>27.6.18</w:t>
      </w:r>
      <w:r>
        <w:rPr>
          <w:rFonts w:cs="David" w:ascii="David" w:hAnsi="David"/>
          <w:color w:val="000000"/>
          <w:rtl w:val="true"/>
        </w:rPr>
        <w:t xml:space="preserve">) - </w:t>
      </w:r>
      <w:r>
        <w:rPr>
          <w:rFonts w:ascii="David" w:hAnsi="David"/>
          <w:color w:val="000000"/>
          <w:rtl w:val="true"/>
        </w:rPr>
        <w:t xml:space="preserve">דחה בית המשפט המחוזי ערעורו של נאשם כבן </w:t>
      </w:r>
      <w:r>
        <w:rPr>
          <w:rFonts w:cs="David" w:ascii="David" w:hAnsi="David"/>
          <w:color w:val="000000"/>
        </w:rPr>
        <w:t>50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 החזיק בביתו אקדח ללא תחמושת ונדון לתשעה חודשי מאסר בפועל ועונשים נלווים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color w:val="000000"/>
        </w:rPr>
      </w:pP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56305-02-20</w:t>
        </w:r>
      </w:hyperlink>
      <w:r>
        <w:rPr>
          <w:rFonts w:cs="David" w:ascii="David" w:hAnsi="David"/>
          <w:color w:val="000000"/>
          <w:rtl w:val="true"/>
        </w:rPr>
        <w:t xml:space="preserve">‏ </w:t>
      </w:r>
      <w:r>
        <w:rPr>
          <w:rFonts w:ascii="David" w:hAnsi="David"/>
          <w:b/>
          <w:b/>
          <w:bCs/>
          <w:color w:val="000000"/>
          <w:rtl w:val="true"/>
        </w:rPr>
        <w:t>אלקריעאן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נבו </w:t>
      </w:r>
      <w:r>
        <w:rPr>
          <w:rFonts w:cs="David" w:ascii="David" w:hAnsi="David"/>
          <w:color w:val="000000"/>
        </w:rPr>
        <w:t>18.8.20</w:t>
      </w:r>
      <w:r>
        <w:rPr>
          <w:rFonts w:cs="David" w:ascii="David" w:hAnsi="David"/>
          <w:color w:val="000000"/>
          <w:rtl w:val="true"/>
        </w:rPr>
        <w:t xml:space="preserve">) – </w:t>
      </w:r>
      <w:r>
        <w:rPr>
          <w:rFonts w:ascii="David" w:hAnsi="David"/>
          <w:color w:val="000000"/>
          <w:rtl w:val="true"/>
        </w:rPr>
        <w:t>נדון נאשם ללא עבר פלילי שברכבו נמצא אקדח ומחסנית 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15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נקבע מתחם שבין </w:t>
      </w:r>
      <w:r>
        <w:rPr>
          <w:rFonts w:cs="David" w:ascii="David" w:hAnsi="David"/>
          <w:color w:val="000000"/>
        </w:rPr>
        <w:t>15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חודשים ועד </w:t>
      </w:r>
      <w:r>
        <w:rPr>
          <w:rFonts w:cs="David" w:ascii="David" w:hAnsi="David"/>
          <w:color w:val="000000"/>
        </w:rPr>
        <w:t>30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ערכאת הערעור הפחיתה את עונשו 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color w:val="000000"/>
        </w:rPr>
      </w:pP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761/07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מיכאל אדרי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נבו </w:t>
      </w:r>
      <w:r>
        <w:rPr>
          <w:rFonts w:cs="David" w:ascii="David" w:hAnsi="David"/>
          <w:color w:val="000000"/>
        </w:rPr>
        <w:t>22.02.07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המערער נהג ברכב ונתפס מחזיק באקדח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מחסנית ותחמושת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כשנעצר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הזדהה כאחר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הוא הורשע בהחזקת נשק שלא כדין ובהפרעה לשוטר במילוי תפקידו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נגזרו עליו בבית המשפט המחוזי 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ובמסגרת ערעור המדינה על קולת העונש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ונוכח רישום פלילי משמעותי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הוחמר עונשו 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24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3632/14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אנואר אבו סבית נ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 xml:space="preserve">מדינת ישראל </w:t>
      </w:r>
      <w:r>
        <w:rPr>
          <w:rFonts w:cs="David" w:ascii="David" w:hAnsi="David"/>
          <w:color w:val="000000"/>
          <w:rtl w:val="true"/>
        </w:rPr>
        <w:t>[</w:t>
      </w:r>
      <w:r>
        <w:rPr>
          <w:rFonts w:ascii="David" w:hAnsi="David"/>
          <w:color w:val="000000"/>
          <w:rtl w:val="true"/>
        </w:rPr>
        <w:t>פורסם בנבו</w:t>
      </w:r>
      <w:r>
        <w:rPr>
          <w:rFonts w:cs="David" w:ascii="David" w:hAnsi="David"/>
          <w:color w:val="000000"/>
          <w:rtl w:val="true"/>
        </w:rPr>
        <w:t>] (</w:t>
      </w:r>
      <w:r>
        <w:rPr>
          <w:rFonts w:ascii="David" w:hAnsi="David"/>
          <w:color w:val="000000"/>
          <w:rtl w:val="true"/>
        </w:rPr>
        <w:t xml:space="preserve">ניתן ביום </w:t>
      </w:r>
      <w:r>
        <w:rPr>
          <w:rFonts w:cs="David" w:ascii="David" w:hAnsi="David"/>
          <w:color w:val="000000"/>
        </w:rPr>
        <w:t>08.12.14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 xml:space="preserve">בית המשפט העליון דחה ערעורו של המערער על גזר דינו של בית המשפט המחוזי במסגרתו הושתו עליו </w:t>
      </w:r>
      <w:r>
        <w:rPr>
          <w:rFonts w:cs="David" w:ascii="David" w:hAnsi="David"/>
          <w:color w:val="000000"/>
        </w:rPr>
        <w:t>18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 ומאסר מותנה בגין עבירה של החזקת נשק מסוג תת מקלע מאולתר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עוד נקבע כי המתחם שקבע בית המשפט המחוזי אשר נע בין </w:t>
      </w:r>
      <w:r>
        <w:rPr>
          <w:rFonts w:cs="David" w:ascii="David" w:hAnsi="David"/>
          <w:color w:val="000000"/>
        </w:rPr>
        <w:t>12-36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הינו מתחם הענישה המקובל כיום בעבירות אלה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המדובר בצעיר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נעדר עבר פלילי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4722/20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בזייג נגד מדינת ישראל </w:t>
      </w:r>
      <w:r>
        <w:rPr>
          <w:rFonts w:cs="David" w:ascii="David" w:hAnsi="David"/>
          <w:color w:val="000000"/>
          <w:rtl w:val="true"/>
        </w:rPr>
        <w:t>[</w:t>
      </w:r>
      <w:r>
        <w:rPr>
          <w:rFonts w:ascii="David" w:hAnsi="David"/>
          <w:color w:val="000000"/>
          <w:rtl w:val="true"/>
        </w:rPr>
        <w:t>פורסם בנבו</w:t>
      </w:r>
      <w:r>
        <w:rPr>
          <w:rFonts w:cs="David" w:ascii="David" w:hAnsi="David"/>
          <w:color w:val="000000"/>
          <w:rtl w:val="true"/>
        </w:rPr>
        <w:t>] (</w:t>
      </w:r>
      <w:r>
        <w:rPr>
          <w:rFonts w:cs="David" w:ascii="David" w:hAnsi="David"/>
          <w:color w:val="000000"/>
        </w:rPr>
        <w:t>09.08.20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המערער הורשע בביצוע עבירות החזקת נשק שלא כדין והחזקת אבזר לנשק שלא כדין כך שנהג ברכב בנוף הגליל כשהוא מחזיק ברכב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נשק מסוג דמוי רובה סער </w:t>
      </w:r>
      <w:r>
        <w:rPr>
          <w:rFonts w:cs="David" w:ascii="David" w:hAnsi="David"/>
          <w:color w:val="000000"/>
        </w:rPr>
        <w:t>M-16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המכיל חלקים של כלי נשק תקניים ומחסנית תואמת ריקה מתחמושת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בית המשפט המחוזי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קבע מתחם עונש הנע בין 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36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חודשי מאסר וגזר על הנאשם </w:t>
      </w:r>
      <w:r>
        <w:rPr>
          <w:rFonts w:cs="David" w:ascii="David" w:hAnsi="David"/>
          <w:color w:val="000000"/>
        </w:rPr>
        <w:t>18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ערעור שהוגש לבית המשפט העליון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נדחה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ת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 xml:space="preserve">פ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4005-07-21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מדינת ישראל נ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 xml:space="preserve">חמזה מחאמיד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17.01.22</w:t>
      </w:r>
      <w:r>
        <w:rPr>
          <w:rFonts w:cs="David" w:ascii="David" w:hAnsi="David"/>
          <w:color w:val="000000"/>
          <w:rtl w:val="true"/>
        </w:rPr>
        <w:t xml:space="preserve">) – </w:t>
      </w:r>
      <w:r>
        <w:rPr>
          <w:rFonts w:ascii="David" w:hAnsi="David"/>
          <w:color w:val="000000"/>
          <w:rtl w:val="true"/>
        </w:rPr>
        <w:t>הנאשם הורשע בנהיגה ברכב תוך שהוא מחזיק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נושא ומוביל רובה ציד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אקדח עם מחסנית תואמת וסכין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נעדר עבר פלילי אך שירות המבחן נמנע מהמלצה שיקומית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בית המשפט המחוזי קבע מתחם עונש הולם בין </w:t>
      </w:r>
      <w:r>
        <w:rPr>
          <w:rFonts w:cs="David" w:ascii="David" w:hAnsi="David"/>
          <w:color w:val="000000"/>
        </w:rPr>
        <w:t>14-38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חודשי מאסר בפועל וגזר על הנאשם </w:t>
      </w:r>
      <w:r>
        <w:rPr>
          <w:rFonts w:cs="David" w:ascii="David" w:hAnsi="David"/>
          <w:color w:val="000000"/>
        </w:rPr>
        <w:t>17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בענייננו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</w:t>
      </w:r>
      <w:r>
        <w:rPr>
          <w:rFonts w:ascii="David" w:hAnsi="David"/>
          <w:color w:val="000000"/>
          <w:rtl w:val="true"/>
        </w:rPr>
        <w:t>מי</w:t>
      </w:r>
      <w:r>
        <w:rPr>
          <w:rFonts w:ascii="David" w:hAnsi="David"/>
          <w:color w:val="000000"/>
          <w:rtl w:val="true"/>
        </w:rPr>
        <w:t>ם כאמור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החזיק</w:t>
      </w:r>
      <w:r>
        <w:rPr>
          <w:rFonts w:ascii="David" w:hAnsi="David"/>
          <w:color w:val="000000"/>
          <w:rtl w:val="true"/>
        </w:rPr>
        <w:t>ו ב</w:t>
      </w:r>
      <w:r>
        <w:rPr>
          <w:rFonts w:ascii="David" w:hAnsi="David"/>
          <w:color w:val="000000"/>
          <w:rtl w:val="true"/>
        </w:rPr>
        <w:t>תת מקלע מאולתר מסוג קרלו ולצדו מחסנית במקום מוסתר שבכוחו של נשק זה להרוג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ופוטנציאל הנזק הטמון בו </w:t>
      </w:r>
      <w:r>
        <w:rPr>
          <w:rFonts w:ascii="David" w:hAnsi="David"/>
          <w:color w:val="000000"/>
          <w:rtl w:val="true"/>
        </w:rPr>
        <w:t xml:space="preserve">הינו </w:t>
      </w:r>
      <w:r>
        <w:rPr>
          <w:rFonts w:ascii="David" w:hAnsi="David"/>
          <w:color w:val="000000"/>
          <w:rtl w:val="true"/>
        </w:rPr>
        <w:t>רב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</w:t>
      </w:r>
      <w:r>
        <w:rPr>
          <w:rFonts w:ascii="David" w:hAnsi="David"/>
          <w:color w:val="000000"/>
          <w:rtl w:val="true"/>
        </w:rPr>
        <w:t>מנם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בסופו של יום לא נעשה שימוש בנשק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עם זאת אין בכך כדי להפחית מחומרת הנסיבות הקשורות בביצוע המעש</w:t>
      </w:r>
      <w:r>
        <w:rPr>
          <w:rFonts w:ascii="David" w:hAnsi="David"/>
          <w:color w:val="000000"/>
          <w:rtl w:val="true"/>
        </w:rPr>
        <w:t xml:space="preserve">ה </w:t>
      </w:r>
      <w:r>
        <w:rPr>
          <w:rFonts w:ascii="David" w:hAnsi="David"/>
          <w:color w:val="000000"/>
          <w:rtl w:val="true"/>
        </w:rPr>
        <w:t>ולהתעלם מהנזק ומהפגיעות הפוטנציאליות שהיו עלולים להתרחש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ככל והיה נעשה בו שימוש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90" w:start="39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</w:t>
      </w:r>
      <w:r>
        <w:rPr>
          <w:rFonts w:ascii="David" w:hAnsi="David"/>
          <w:color w:val="000000"/>
          <w:rtl w:val="true"/>
        </w:rPr>
        <w:t>התחשב בעובדות</w:t>
      </w:r>
      <w:r>
        <w:rPr>
          <w:rFonts w:ascii="David" w:hAnsi="David"/>
          <w:color w:val="000000"/>
          <w:rtl w:val="true"/>
        </w:rPr>
        <w:t xml:space="preserve"> אלו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סוג הנשק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ומגמת ההחמרה ההדרגתית של בית המשפט העליון בעבירות </w:t>
      </w:r>
      <w:r>
        <w:rPr>
          <w:rFonts w:ascii="David" w:hAnsi="David"/>
          <w:color w:val="000000"/>
          <w:rtl w:val="true"/>
        </w:rPr>
        <w:t>אלו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מצאתי כי מתחם העונש ההולם </w:t>
      </w:r>
      <w:r>
        <w:rPr>
          <w:rFonts w:ascii="David" w:hAnsi="David"/>
          <w:color w:val="000000"/>
          <w:rtl w:val="true"/>
        </w:rPr>
        <w:t>מקרה זה הינו החל מ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14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חודשים ועד </w:t>
      </w:r>
      <w:r>
        <w:rPr>
          <w:rFonts w:cs="David" w:ascii="David" w:hAnsi="David"/>
          <w:color w:val="000000"/>
        </w:rPr>
        <w:t>36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</w:p>
    <w:p>
      <w:pPr>
        <w:pStyle w:val="Normal"/>
        <w:shd w:fill="FFFFFF" w:val="clear"/>
        <w:spacing w:lineRule="auto" w:line="360" w:before="0" w:after="160"/>
        <w:ind w:firstLine="39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העונש המתאים לנאשמים</w:t>
      </w:r>
      <w:r>
        <w:rPr>
          <w:rFonts w:cs="David" w:ascii="David" w:hAnsi="David"/>
          <w:b/>
          <w:bCs/>
          <w:color w:val="000000"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/>
        <w:ind w:hanging="390" w:start="39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הנאשמים הינם ילידי </w:t>
      </w:r>
      <w:r>
        <w:rPr>
          <w:rFonts w:cs="David" w:ascii="David" w:hAnsi="David"/>
          <w:color w:val="000000"/>
        </w:rPr>
        <w:t>2001</w:t>
      </w:r>
      <w:r>
        <w:rPr>
          <w:rFonts w:cs="David" w:ascii="David" w:hAnsi="David"/>
          <w:color w:val="000000"/>
          <w:rtl w:val="true"/>
        </w:rPr>
        <w:t xml:space="preserve">,  </w:t>
      </w:r>
      <w:r>
        <w:rPr>
          <w:rFonts w:ascii="David" w:hAnsi="David"/>
          <w:color w:val="000000"/>
          <w:rtl w:val="true"/>
        </w:rPr>
        <w:t>נעדרי רישום פלילי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hd w:fill="FFFFFF" w:val="clear"/>
        <w:spacing w:lineRule="auto" w:line="360"/>
        <w:ind w:hanging="390" w:start="39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הנאשמים נטלו אחריות על המעשים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והביעו צער על מעורבותם בביצוע העבירה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כן התחשבתי בגילם הצעיר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העובדה כי המדובר בהחזקה משותפת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וכן משך תקופת המעצר בה הם שוהים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החל מיום </w:t>
      </w:r>
      <w:r>
        <w:rPr>
          <w:rFonts w:cs="David" w:ascii="David" w:hAnsi="David"/>
          <w:color w:val="000000"/>
        </w:rPr>
        <w:t>23.7.2023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וכן בעובדה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כי הם עתידים לרצות מאסר ראשון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בנוסף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הבאתי במסגרת שיקוליי את דברי האב ביחס לסיוע הניתן על ידם לעסק שבבעלותו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numPr>
          <w:ilvl w:val="0"/>
          <w:numId w:val="2"/>
        </w:numPr>
        <w:shd w:fill="FFFFFF" w:val="clear"/>
        <w:spacing w:lineRule="auto" w:line="360"/>
        <w:ind w:hanging="390" w:start="39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באיזון בין שיקולים אלו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ראיתי לקבוע את עונשם של הנאשמים בתחתית מתחם הענישה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ולהטיל עליהם את העונשים הבאים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shd w:fill="FFFFFF" w:val="clear"/>
        <w:spacing w:lineRule="auto" w:line="360"/>
        <w:ind w:hanging="36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>.</w:t>
        <w:tab/>
      </w:r>
      <w:r>
        <w:rPr>
          <w:rFonts w:ascii="David" w:hAnsi="David"/>
          <w:color w:val="000000"/>
          <w:rtl w:val="true"/>
        </w:rPr>
        <w:t xml:space="preserve">מאסר למשך </w:t>
      </w:r>
      <w:r>
        <w:rPr>
          <w:rFonts w:cs="David" w:ascii="David" w:hAnsi="David"/>
          <w:color w:val="000000"/>
        </w:rPr>
        <w:t>16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 בניכוי ימי המעצר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hd w:fill="FFFFFF" w:val="clear"/>
        <w:spacing w:lineRule="auto" w:line="360"/>
        <w:ind w:hanging="36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.</w:t>
        <w:tab/>
      </w:r>
      <w:r>
        <w:rPr>
          <w:rFonts w:cs="David" w:ascii="David" w:hAnsi="David"/>
          <w:color w:val="000000"/>
        </w:rPr>
        <w:t>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חודשי מאסר וזאת על תנאי למשך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 מיום שחרורם מהמאסר שלא יעברו עבירה הקשורה בנשק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hd w:fill="FFFFFF" w:val="clear"/>
        <w:spacing w:lineRule="auto" w:line="360"/>
        <w:ind w:hanging="36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ג</w:t>
      </w:r>
      <w:r>
        <w:rPr>
          <w:rFonts w:cs="David" w:ascii="David" w:hAnsi="David"/>
          <w:color w:val="000000"/>
          <w:rtl w:val="true"/>
        </w:rPr>
        <w:t>.</w:t>
        <w:tab/>
      </w:r>
      <w:r>
        <w:rPr>
          <w:rFonts w:ascii="David" w:hAnsi="David"/>
          <w:color w:val="000000"/>
          <w:rtl w:val="true"/>
        </w:rPr>
        <w:t xml:space="preserve">קנס בסך </w:t>
      </w:r>
      <w:r>
        <w:rPr>
          <w:rFonts w:cs="David" w:ascii="David" w:hAnsi="David"/>
          <w:color w:val="000000"/>
        </w:rPr>
        <w:t>5000</w:t>
      </w:r>
      <w:r>
        <w:rPr>
          <w:rFonts w:cs="David" w:ascii="David" w:hAnsi="David"/>
          <w:color w:val="000000"/>
          <w:rtl w:val="true"/>
        </w:rPr>
        <w:t xml:space="preserve"> ₪ </w:t>
      </w:r>
      <w:r>
        <w:rPr>
          <w:rFonts w:ascii="David" w:hAnsi="David"/>
          <w:color w:val="000000"/>
          <w:rtl w:val="true"/>
        </w:rPr>
        <w:t xml:space="preserve">לכל אחד מהנאשמים אשר ישולם עד ליום </w:t>
      </w:r>
      <w:r>
        <w:rPr>
          <w:rFonts w:cs="David" w:ascii="David" w:hAnsi="David"/>
          <w:color w:val="000000"/>
        </w:rPr>
        <w:t>4.8.2024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0"/>
          <w:szCs w:val="20"/>
        </w:rPr>
      </w:pPr>
      <w:r>
        <w:rPr>
          <w:rFonts w:ascii="David" w:hAnsi="David"/>
          <w:sz w:val="20"/>
          <w:sz w:val="20"/>
          <w:szCs w:val="20"/>
          <w:rtl w:val="true"/>
        </w:rPr>
        <w:t>החוב מועבר למרכז לגביית קנסות</w:t>
      </w:r>
      <w:r>
        <w:rPr>
          <w:rFonts w:cs="David" w:ascii="David" w:hAnsi="David"/>
          <w:sz w:val="20"/>
          <w:szCs w:val="20"/>
          <w:rtl w:val="true"/>
        </w:rPr>
        <w:t xml:space="preserve">, </w:t>
      </w:r>
      <w:r>
        <w:rPr>
          <w:rFonts w:ascii="David" w:hAnsi="David"/>
          <w:sz w:val="20"/>
          <w:sz w:val="20"/>
          <w:szCs w:val="20"/>
          <w:rtl w:val="true"/>
        </w:rPr>
        <w:t>אגרות והוצאות ברשות האכיפה והגבייה</w:t>
      </w:r>
      <w:r>
        <w:rPr>
          <w:rFonts w:cs="David" w:ascii="David" w:hAnsi="David"/>
          <w:sz w:val="20"/>
          <w:szCs w:val="20"/>
          <w:rtl w:val="true"/>
        </w:rPr>
        <w:t xml:space="preserve">, </w:t>
      </w:r>
      <w:r>
        <w:rPr>
          <w:rFonts w:ascii="David" w:hAnsi="David"/>
          <w:sz w:val="20"/>
          <w:sz w:val="20"/>
          <w:szCs w:val="20"/>
          <w:rtl w:val="true"/>
        </w:rPr>
        <w:t>בהתאם למועדים והתשלומים שקבע בית המשפט</w:t>
      </w:r>
      <w:r>
        <w:rPr>
          <w:rFonts w:cs="David" w:ascii="David" w:hAnsi="David"/>
          <w:sz w:val="20"/>
          <w:szCs w:val="20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  <w:sz w:val="20"/>
          <w:szCs w:val="20"/>
        </w:rPr>
      </w:pPr>
      <w:r>
        <w:rPr>
          <w:rFonts w:ascii="David" w:hAnsi="David"/>
          <w:sz w:val="20"/>
          <w:sz w:val="20"/>
          <w:szCs w:val="20"/>
          <w:rtl w:val="true"/>
        </w:rPr>
        <w:t>ניתן יהיה לשלם את הקנס</w:t>
      </w:r>
      <w:r>
        <w:rPr>
          <w:rFonts w:cs="David" w:ascii="David" w:hAnsi="David"/>
          <w:sz w:val="20"/>
          <w:szCs w:val="20"/>
          <w:rtl w:val="true"/>
        </w:rPr>
        <w:t xml:space="preserve">/ </w:t>
      </w:r>
      <w:r>
        <w:rPr>
          <w:rFonts w:ascii="David" w:hAnsi="David"/>
          <w:sz w:val="20"/>
          <w:sz w:val="20"/>
          <w:szCs w:val="20"/>
          <w:rtl w:val="true"/>
        </w:rPr>
        <w:t>פיצוי</w:t>
      </w:r>
      <w:r>
        <w:rPr>
          <w:rFonts w:cs="David" w:ascii="David" w:hAnsi="David"/>
          <w:sz w:val="20"/>
          <w:szCs w:val="20"/>
          <w:rtl w:val="true"/>
        </w:rPr>
        <w:t xml:space="preserve">/ </w:t>
      </w:r>
      <w:r>
        <w:rPr>
          <w:rFonts w:ascii="David" w:hAnsi="David"/>
          <w:sz w:val="20"/>
          <w:sz w:val="20"/>
          <w:szCs w:val="20"/>
          <w:rtl w:val="true"/>
        </w:rPr>
        <w:t>ההוצאות כעבור שלושה ימים מיום מתן ההחלטה</w:t>
      </w:r>
      <w:r>
        <w:rPr>
          <w:rFonts w:cs="David" w:ascii="David" w:hAnsi="David"/>
          <w:sz w:val="20"/>
          <w:szCs w:val="20"/>
          <w:rtl w:val="true"/>
        </w:rPr>
        <w:t xml:space="preserve">/  </w:t>
      </w:r>
      <w:r>
        <w:rPr>
          <w:rFonts w:ascii="David" w:hAnsi="David"/>
          <w:sz w:val="20"/>
          <w:sz w:val="20"/>
          <w:szCs w:val="20"/>
          <w:rtl w:val="true"/>
        </w:rPr>
        <w:t>גזר הדין לחשבון המרכז לגביית קנסות</w:t>
      </w:r>
      <w:r>
        <w:rPr>
          <w:rFonts w:cs="David" w:ascii="David" w:hAnsi="David"/>
          <w:sz w:val="20"/>
          <w:szCs w:val="20"/>
          <w:rtl w:val="true"/>
        </w:rPr>
        <w:t xml:space="preserve">, </w:t>
      </w:r>
      <w:r>
        <w:rPr>
          <w:rFonts w:ascii="David" w:hAnsi="David"/>
          <w:sz w:val="20"/>
          <w:sz w:val="20"/>
          <w:szCs w:val="20"/>
          <w:rtl w:val="true"/>
        </w:rPr>
        <w:t>אגרות והוצאות ברשות האכיפה והגבייה באחת מהדרכים הבאות</w:t>
      </w:r>
      <w:r>
        <w:rPr>
          <w:rFonts w:cs="David" w:ascii="David" w:hAnsi="David"/>
          <w:sz w:val="20"/>
          <w:szCs w:val="20"/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0"/>
          <w:szCs w:val="20"/>
        </w:rPr>
      </w:pPr>
      <w:r>
        <w:rPr>
          <w:rFonts w:ascii="David" w:hAnsi="David"/>
          <w:b/>
          <w:b/>
          <w:bCs/>
          <w:sz w:val="20"/>
          <w:sz w:val="20"/>
          <w:szCs w:val="20"/>
          <w:rtl w:val="true"/>
        </w:rPr>
        <w:t>בכרטיס אשראי</w:t>
      </w:r>
      <w:r>
        <w:rPr>
          <w:rFonts w:ascii="David" w:hAnsi="David"/>
          <w:sz w:val="20"/>
          <w:sz w:val="20"/>
          <w:szCs w:val="20"/>
          <w:rtl w:val="true"/>
        </w:rPr>
        <w:t xml:space="preserve"> – באתר המקוון של רשות האכיפה והגבייה</w:t>
      </w:r>
      <w:r>
        <w:rPr>
          <w:rFonts w:cs="David" w:ascii="David" w:hAnsi="David"/>
          <w:sz w:val="20"/>
          <w:szCs w:val="20"/>
          <w:rtl w:val="true"/>
        </w:rPr>
        <w:t xml:space="preserve">, </w:t>
      </w:r>
      <w:hyperlink r:id="rId23">
        <w:r>
          <w:rPr>
            <w:rStyle w:val="Hyperlink"/>
            <w:rFonts w:cs="David" w:ascii="David" w:hAnsi="David"/>
            <w:sz w:val="20"/>
            <w:szCs w:val="20"/>
          </w:rPr>
          <w:t>www.eca.gov.il</w:t>
        </w:r>
      </w:hyperlink>
      <w:r>
        <w:rPr>
          <w:rFonts w:cs="David" w:ascii="David" w:hAnsi="David"/>
          <w:sz w:val="20"/>
          <w:szCs w:val="20"/>
          <w:rtl w:val="true"/>
        </w:rPr>
        <w:t xml:space="preserve"> </w:t>
      </w:r>
      <w:r>
        <w:rPr>
          <w:rFonts w:cs="David" w:ascii="David" w:hAnsi="David"/>
          <w:sz w:val="20"/>
          <w:szCs w:val="20"/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0"/>
          <w:szCs w:val="20"/>
        </w:rPr>
      </w:pPr>
      <w:r>
        <w:rPr>
          <w:rFonts w:ascii="David" w:hAnsi="David"/>
          <w:b/>
          <w:b/>
          <w:bCs/>
          <w:sz w:val="20"/>
          <w:sz w:val="20"/>
          <w:szCs w:val="20"/>
          <w:rtl w:val="true"/>
        </w:rPr>
        <w:t xml:space="preserve">מוקד שירות טלפוני בשרות עצמי </w:t>
      </w:r>
      <w:r>
        <w:rPr>
          <w:rFonts w:cs="David" w:ascii="David" w:hAnsi="David"/>
          <w:b/>
          <w:bCs/>
          <w:sz w:val="20"/>
          <w:szCs w:val="20"/>
          <w:rtl w:val="true"/>
        </w:rPr>
        <w:t>(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</w:rPr>
        <w:t>מרכז גבייה</w:t>
      </w:r>
      <w:r>
        <w:rPr>
          <w:rFonts w:cs="David" w:ascii="David" w:hAnsi="David"/>
          <w:b/>
          <w:bCs/>
          <w:sz w:val="20"/>
          <w:szCs w:val="20"/>
          <w:rtl w:val="true"/>
        </w:rPr>
        <w:t xml:space="preserve">)  –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</w:rPr>
        <w:t xml:space="preserve">בטלפון </w:t>
      </w:r>
      <w:r>
        <w:rPr>
          <w:rFonts w:cs="David" w:ascii="David" w:hAnsi="David"/>
          <w:b/>
          <w:bCs/>
          <w:sz w:val="20"/>
          <w:szCs w:val="20"/>
        </w:rPr>
        <w:t>35592</w:t>
      </w:r>
      <w:r>
        <w:rPr>
          <w:rFonts w:cs="David" w:ascii="David" w:hAnsi="David"/>
          <w:b/>
          <w:bCs/>
          <w:sz w:val="20"/>
          <w:szCs w:val="20"/>
          <w:rtl w:val="true"/>
        </w:rPr>
        <w:t xml:space="preserve">*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</w:rPr>
        <w:t xml:space="preserve">או בטלפון </w:t>
      </w:r>
      <w:r>
        <w:rPr>
          <w:rFonts w:cs="David" w:ascii="David" w:hAnsi="David"/>
          <w:b/>
          <w:bCs/>
          <w:sz w:val="20"/>
          <w:szCs w:val="20"/>
        </w:rPr>
        <w:t>073-2055000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0"/>
          <w:szCs w:val="20"/>
        </w:rPr>
      </w:pPr>
      <w:r>
        <w:rPr>
          <w:rFonts w:ascii="David" w:hAnsi="David"/>
          <w:b/>
          <w:b/>
          <w:bCs/>
          <w:sz w:val="20"/>
          <w:sz w:val="20"/>
          <w:szCs w:val="20"/>
          <w:rtl w:val="true"/>
        </w:rPr>
        <w:t>במזומן בכל סניף של בנק הדואר</w:t>
      </w:r>
      <w:r>
        <w:rPr>
          <w:rFonts w:ascii="David" w:hAnsi="David"/>
          <w:sz w:val="20"/>
          <w:sz w:val="20"/>
          <w:szCs w:val="20"/>
          <w:rtl w:val="true"/>
        </w:rPr>
        <w:t xml:space="preserve"> – בהצגת תעודת זהות בלבד </w:t>
      </w:r>
      <w:r>
        <w:rPr>
          <w:rFonts w:cs="David" w:ascii="David" w:hAnsi="David"/>
          <w:sz w:val="20"/>
          <w:szCs w:val="20"/>
          <w:rtl w:val="true"/>
        </w:rPr>
        <w:t>(</w:t>
      </w:r>
      <w:r>
        <w:rPr>
          <w:rFonts w:ascii="David" w:hAnsi="David"/>
          <w:sz w:val="20"/>
          <w:sz w:val="20"/>
          <w:szCs w:val="20"/>
          <w:rtl w:val="true"/>
        </w:rPr>
        <w:t>אין צורך בשוברי תשלום</w:t>
      </w:r>
      <w:r>
        <w:rPr>
          <w:rFonts w:cs="David" w:ascii="David" w:hAnsi="David"/>
          <w:sz w:val="20"/>
          <w:szCs w:val="20"/>
          <w:rtl w:val="true"/>
        </w:rPr>
        <w:t>).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המוצגים יחולטו או יושמדו בהתאם להחלטת רשם המוצגים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2"/>
          <w:szCs w:val="22"/>
        </w:rPr>
      </w:pPr>
      <w:r>
        <w:rPr>
          <w:rFonts w:cs="David" w:ascii="David" w:hAnsi="David"/>
          <w:b/>
          <w:bCs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  <w:color w:val="FFFFFF"/>
          <w:sz w:val="2"/>
          <w:szCs w:val="2"/>
        </w:rPr>
        <w:t>5129371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 xml:space="preserve">זכות ערעור לבית המשפט המחוזי בירושלים בתוך </w:t>
      </w:r>
      <w:r>
        <w:rPr>
          <w:rFonts w:cs="David" w:ascii="David" w:hAnsi="David"/>
          <w:b/>
          <w:bCs/>
          <w:sz w:val="22"/>
          <w:szCs w:val="22"/>
        </w:rPr>
        <w:t>45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יום מהיום</w:t>
      </w:r>
      <w:r>
        <w:rPr>
          <w:rFonts w:cs="David" w:ascii="David" w:hAnsi="David"/>
          <w:b/>
          <w:bCs/>
          <w:sz w:val="22"/>
          <w:szCs w:val="22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2"/>
          <w:szCs w:val="22"/>
        </w:rPr>
      </w:pPr>
      <w:bookmarkStart w:id="10" w:name="Nitan"/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ניתן היום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ט</w:t>
      </w: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ז אדר ב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תשפ</w:t>
      </w: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ד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cs="Arial" w:ascii="Arial" w:hAnsi="Arial"/>
          <w:b/>
          <w:bCs/>
          <w:sz w:val="22"/>
          <w:szCs w:val="22"/>
        </w:rPr>
        <w:t>26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מרץ </w:t>
      </w:r>
      <w:r>
        <w:rPr>
          <w:rFonts w:cs="Arial" w:ascii="Arial" w:hAnsi="Arial"/>
          <w:b/>
          <w:bCs/>
          <w:sz w:val="22"/>
          <w:szCs w:val="22"/>
        </w:rPr>
        <w:t>2024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במעמד הנוכחים </w:t>
      </w:r>
      <w:r>
        <w:rPr>
          <w:rFonts w:cs="Arial" w:ascii="Arial" w:hAnsi="Arial"/>
          <w:b/>
          <w:bCs/>
          <w:sz w:val="22"/>
          <w:szCs w:val="22"/>
          <w:rtl w:val="true"/>
        </w:rPr>
        <w:t>(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הנאשמים בוויעוד חזותי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). </w:t>
      </w:r>
      <w:bookmarkEnd w:id="10"/>
      <w:r>
        <w:rPr>
          <w:rFonts w:cs="Arial" w:ascii="Arial" w:hAnsi="Arial"/>
          <w:b/>
          <w:bCs/>
          <w:sz w:val="22"/>
          <w:szCs w:val="22"/>
          <w:rtl w:val="true"/>
        </w:rPr>
        <w:tab/>
        <w:tab/>
        <w:tab/>
        <w:tab/>
        <w:tab/>
        <w:tab/>
        <w:tab/>
        <w:t xml:space="preserve">         </w:t>
      </w:r>
    </w:p>
    <w:p>
      <w:pPr>
        <w:pStyle w:val="Normal"/>
        <w:spacing w:lineRule="auto" w:line="254" w:before="0" w:after="160"/>
        <w:ind w:end="0"/>
        <w:jc w:val="start"/>
        <w:rPr>
          <w:rFonts w:ascii="Arial" w:hAnsi="Arial" w:cs="Arial"/>
          <w:b/>
          <w:bCs/>
          <w:sz w:val="22"/>
          <w:szCs w:val="22"/>
        </w:rPr>
      </w:pPr>
      <w:r>
        <w:rPr>
          <w:rFonts w:eastAsia="Arial" w:cs="Arial" w:ascii="Arial" w:hAnsi="Arial"/>
          <w:b/>
          <w:bCs/>
          <w:sz w:val="22"/>
          <w:szCs w:val="22"/>
          <w:rtl w:val="true"/>
        </w:rPr>
        <w:t xml:space="preserve">   </w:t>
      </w:r>
      <w:r>
        <w:rPr>
          <w:rFonts w:cs="Arial" w:ascii="Arial" w:hAnsi="Arial"/>
          <w:b/>
          <w:bCs/>
          <w:sz w:val="22"/>
          <w:szCs w:val="22"/>
          <w:rtl w:val="true"/>
        </w:rPr>
        <w:tab/>
        <w:tab/>
      </w:r>
    </w:p>
    <w:p>
      <w:pPr>
        <w:pStyle w:val="Normal"/>
        <w:spacing w:lineRule="auto" w:line="254" w:before="0" w:after="160"/>
        <w:ind w:end="0"/>
        <w:jc w:val="start"/>
        <w:rPr>
          <w:rFonts w:ascii="Calibri" w:hAnsi="Calibri" w:eastAsia="Calibri" w:cs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rtl w:val="true"/>
        </w:rPr>
        <w:tab/>
        <w:tab/>
        <w:tab/>
        <w:tab/>
        <w:tab/>
        <w:tab/>
        <w:tab/>
        <w:tab/>
        <w:tab/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חתימה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ארנון איתן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5"/>
      <w:footerReference w:type="default" r:id="rId2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3748-08-23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לידאוויה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10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390" w:hanging="390"/>
      </w:pPr>
      <w:rPr/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Times New Roman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g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g" TargetMode="External"/><Relationship Id="rId11" Type="http://schemas.openxmlformats.org/officeDocument/2006/relationships/hyperlink" Target="http://www.nevo.co.il/case/26913995" TargetMode="External"/><Relationship Id="rId12" Type="http://schemas.openxmlformats.org/officeDocument/2006/relationships/hyperlink" Target="http://www.nevo.co.il/case/25824863" TargetMode="External"/><Relationship Id="rId13" Type="http://schemas.openxmlformats.org/officeDocument/2006/relationships/hyperlink" Target="http://www.nevo.co.il/case/25063920" TargetMode="External"/><Relationship Id="rId14" Type="http://schemas.openxmlformats.org/officeDocument/2006/relationships/hyperlink" Target="http://www.nevo.co.il/case/5969313" TargetMode="External"/><Relationship Id="rId15" Type="http://schemas.openxmlformats.org/officeDocument/2006/relationships/hyperlink" Target="http://www.nevo.co.il/case/5762686" TargetMode="External"/><Relationship Id="rId16" Type="http://schemas.openxmlformats.org/officeDocument/2006/relationships/hyperlink" Target="http://www.nevo.co.il/case/26383419" TargetMode="External"/><Relationship Id="rId17" Type="http://schemas.openxmlformats.org/officeDocument/2006/relationships/hyperlink" Target="http://www.nevo.co.il/case/6024035" TargetMode="External"/><Relationship Id="rId18" Type="http://schemas.openxmlformats.org/officeDocument/2006/relationships/hyperlink" Target="http://www.nevo.co.il/case/23817589" TargetMode="External"/><Relationship Id="rId19" Type="http://schemas.openxmlformats.org/officeDocument/2006/relationships/hyperlink" Target="http://www.nevo.co.il/case/26484690" TargetMode="External"/><Relationship Id="rId20" Type="http://schemas.openxmlformats.org/officeDocument/2006/relationships/hyperlink" Target="http://www.nevo.co.il/case/5724364" TargetMode="External"/><Relationship Id="rId21" Type="http://schemas.openxmlformats.org/officeDocument/2006/relationships/hyperlink" Target="http://www.nevo.co.il/case/16944929" TargetMode="External"/><Relationship Id="rId22" Type="http://schemas.openxmlformats.org/officeDocument/2006/relationships/hyperlink" Target="http://www.nevo.co.il/case/26833934" TargetMode="External"/><Relationship Id="rId23" Type="http://schemas.openxmlformats.org/officeDocument/2006/relationships/hyperlink" Target="http://www.eca.gov.il/" TargetMode="External"/><Relationship Id="rId24" Type="http://schemas.openxmlformats.org/officeDocument/2006/relationships/hyperlink" Target="http://www.nevo.co.il/advertisements/nevo-100.doc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2024-11-07T12:57:00Z</dcterms:created>
  <dc:creator> </dc:creator>
  <dc:description/>
  <cp:keywords/>
  <dc:language>en-IL</dc:language>
  <cp:lastModifiedBy>h1</cp:lastModifiedBy>
  <dcterms:modified xsi:type="dcterms:W3CDTF">2024-11-07T12:57:00Z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לידאוויה;אחמד לידאוויה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26913995;25824863;25063920;5969313;5762686;26383419;6024035;23817589;26484690;5724364;16944929;26833934</vt:lpwstr>
  </property>
  <property fmtid="{D5CDD505-2E9C-101B-9397-08002B2CF9AE}" pid="9" name="CITY">
    <vt:lpwstr>י-ם</vt:lpwstr>
  </property>
  <property fmtid="{D5CDD505-2E9C-101B-9397-08002B2CF9AE}" pid="10" name="DATE">
    <vt:lpwstr>20240326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ארנון איתן</vt:lpwstr>
  </property>
  <property fmtid="{D5CDD505-2E9C-101B-9397-08002B2CF9AE}" pid="14" name="LAWLISTTMP1">
    <vt:lpwstr>70301/144.a;144;144g</vt:lpwstr>
  </property>
  <property fmtid="{D5CDD505-2E9C-101B-9397-08002B2CF9AE}" pid="15" name="LAWYER">
    <vt:lpwstr>מוסטאפה יחיא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3748</vt:lpwstr>
  </property>
  <property fmtid="{D5CDD505-2E9C-101B-9397-08002B2CF9AE}" pid="22" name="NEWPARTB">
    <vt:lpwstr>08</vt:lpwstr>
  </property>
  <property fmtid="{D5CDD505-2E9C-101B-9397-08002B2CF9AE}" pid="23" name="NEWPARTC">
    <vt:lpwstr>23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380020240326</vt:lpwstr>
  </property>
  <property fmtid="{D5CDD505-2E9C-101B-9397-08002B2CF9AE}" pid="34" name="TYPE_N_DATE">
    <vt:lpwstr>38020240326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