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3756-09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פלוריאן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9341/09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אברהם הימן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מרדכי פלוריאן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אפרת ליפשיץ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שי וולשי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 xml:space="preserve">הנאשם הודה על פי עובדות כתב האישום בעבירות של הפרת הוראה חוקית דהיינו הפרה של </w:t>
      </w:r>
      <w:r>
        <w:rPr>
          <w:color w:val="000000"/>
          <w:rtl w:val="true"/>
        </w:rPr>
        <w:t>צו הגנה</w:t>
      </w:r>
      <w:r>
        <w:rPr>
          <w:rtl w:val="true"/>
        </w:rPr>
        <w:t xml:space="preserve"> שנועד להגן על אדם</w:t>
      </w:r>
      <w:r>
        <w:rPr>
          <w:rtl w:val="true"/>
        </w:rPr>
        <w:t xml:space="preserve">, </w:t>
      </w:r>
      <w:r>
        <w:rPr>
          <w:rtl w:val="true"/>
        </w:rPr>
        <w:t>ובעבירה נוספת זו בהטרדת עד לתקיפה סתם</w:t>
      </w:r>
      <w:r>
        <w:rPr>
          <w:rtl w:val="true"/>
        </w:rPr>
        <w:t xml:space="preserve">. </w:t>
      </w:r>
      <w:r>
        <w:rPr>
          <w:rtl w:val="true"/>
        </w:rPr>
        <w:t>עובדות כתב האישום מבטאות קומץ ממערכת יחסים זוגית מעורערת שברקע  כתב האישום</w:t>
      </w:r>
      <w:r>
        <w:rPr>
          <w:rtl w:val="true"/>
        </w:rPr>
        <w:t xml:space="preserve">. </w:t>
      </w:r>
      <w:r>
        <w:rPr>
          <w:rtl w:val="true"/>
        </w:rPr>
        <w:t>העבירות שביצע הנאשם נעברו כלפי בת זוגו וחברתה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 לעונש שמה התובעת דגש על האמור בתסקיר שרות המבחן שהוגש עובר לדיון דהיום</w:t>
      </w:r>
      <w:r>
        <w:rPr>
          <w:rtl w:val="true"/>
        </w:rPr>
        <w:t xml:space="preserve">, </w:t>
      </w:r>
      <w:r>
        <w:rPr>
          <w:rtl w:val="true"/>
        </w:rPr>
        <w:t>ועל עובדת ההרשעה הקודמת שעניינה אלימות כלפי בת זוגו ועל יתר הנסיבות החמורות של המקרה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פירט נסיבות אשר לדעתו יש בהם כדי להקל עם הנאשם ולדחות עתירת התביעה 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 זה אציין כי בעיני מאסר שיבחן ריצויו בעבודות שרות באופן עקרוני הוא מאסר לכל דבר ועניין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>
          <w:color w:val="000000"/>
          <w:rtl w:val="true"/>
        </w:rPr>
        <w:t>צו ההגנה</w:t>
      </w:r>
      <w:r>
        <w:rPr>
          <w:rtl w:val="true"/>
        </w:rPr>
        <w:t xml:space="preserve"> שהוצא מלפני בית המשפט הוא בעייתי כפי שהגדירו בשפתו </w:t>
      </w:r>
      <w:r>
        <w:rPr>
          <w:rtl w:val="true"/>
        </w:rPr>
        <w:t>"</w:t>
      </w:r>
      <w:r>
        <w:rPr>
          <w:rtl w:val="true"/>
        </w:rPr>
        <w:t>צו לא טוב</w:t>
      </w:r>
      <w:r>
        <w:rPr>
          <w:rtl w:val="true"/>
        </w:rPr>
        <w:t xml:space="preserve">" </w:t>
      </w:r>
      <w:r>
        <w:rPr>
          <w:rtl w:val="true"/>
        </w:rPr>
        <w:t>לפי שלטעמו קשה ביותר לקיימו בנסיבות המקרה</w:t>
      </w:r>
      <w:r>
        <w:rPr>
          <w:rtl w:val="true"/>
        </w:rPr>
        <w:t xml:space="preserve">, </w:t>
      </w:r>
      <w:r>
        <w:rPr>
          <w:rtl w:val="true"/>
        </w:rPr>
        <w:t>לנוכח הצו</w:t>
      </w:r>
      <w:r>
        <w:rPr>
          <w:rtl w:val="true"/>
        </w:rPr>
        <w:t xml:space="preserve">. </w:t>
      </w:r>
      <w:r>
        <w:rPr>
          <w:rtl w:val="true"/>
        </w:rPr>
        <w:t>מצאתי לסלק הצידה טענה זו</w:t>
      </w:r>
      <w:r>
        <w:rPr>
          <w:rtl w:val="true"/>
        </w:rPr>
        <w:t xml:space="preserve">. </w:t>
      </w:r>
      <w:r>
        <w:rPr>
          <w:rtl w:val="true"/>
        </w:rPr>
        <w:t>לדעתי אין לשמוע טענה זו</w:t>
      </w:r>
      <w:r>
        <w:rPr>
          <w:rtl w:val="true"/>
        </w:rPr>
        <w:t xml:space="preserve">, </w:t>
      </w:r>
      <w:r>
        <w:rPr>
          <w:rtl w:val="true"/>
        </w:rPr>
        <w:t>בוודאי אין להשמיע אותה</w:t>
      </w:r>
      <w:r>
        <w:rPr>
          <w:rtl w:val="true"/>
        </w:rPr>
        <w:t xml:space="preserve">. </w:t>
      </w:r>
      <w:r>
        <w:rPr>
          <w:rtl w:val="true"/>
        </w:rPr>
        <w:t>לטעמי ולשיטתי צו של בית המשפט ככל שהוא תקף ולא בוטל יש לקיימו ככתבו וכלשונו</w:t>
      </w:r>
      <w:r>
        <w:rPr>
          <w:rtl w:val="true"/>
        </w:rPr>
        <w:t xml:space="preserve">. </w:t>
      </w:r>
      <w:r>
        <w:rPr>
          <w:rtl w:val="true"/>
        </w:rPr>
        <w:t>צו של בית משפט לענייני משפחה</w:t>
      </w:r>
      <w:r>
        <w:rPr>
          <w:rtl w:val="true"/>
        </w:rPr>
        <w:t xml:space="preserve">, </w:t>
      </w:r>
      <w:r>
        <w:rPr>
          <w:rtl w:val="true"/>
        </w:rPr>
        <w:t>שתכליתו הגנה  הוא צו שיש לדקדק בקיומו</w:t>
      </w:r>
      <w:r>
        <w:rPr>
          <w:rtl w:val="true"/>
        </w:rPr>
        <w:t xml:space="preserve">. </w:t>
      </w:r>
      <w:r>
        <w:rPr>
          <w:rtl w:val="true"/>
        </w:rPr>
        <w:t>אינני מקבל טענה שיש צווים שקשה לקיימם</w:t>
      </w:r>
      <w:r>
        <w:rPr>
          <w:rtl w:val="true"/>
        </w:rPr>
        <w:t xml:space="preserve">, </w:t>
      </w:r>
      <w:r>
        <w:rPr>
          <w:rtl w:val="true"/>
        </w:rPr>
        <w:t>ויש צווים שקל לקיימם</w:t>
      </w:r>
      <w:r>
        <w:rPr>
          <w:rtl w:val="true"/>
        </w:rPr>
        <w:t xml:space="preserve">. </w:t>
      </w:r>
      <w:r>
        <w:rPr>
          <w:rtl w:val="true"/>
        </w:rPr>
        <w:t>יש מושג אחד והוא צו של בית משפט ואם נטען טענות באשר לדרך קיום הצווים נמצאנו בפני מדרון חלקלק שסופו מישורנו</w:t>
      </w:r>
      <w:r>
        <w:rPr>
          <w:rtl w:val="true"/>
        </w:rPr>
        <w:t xml:space="preserve">, </w:t>
      </w:r>
      <w:r>
        <w:rPr>
          <w:rtl w:val="true"/>
        </w:rPr>
        <w:t>זו דעתי ואני מביע אותה והבעתי אותה רבות לצערי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טוען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שאין לפנינו אלימות פיסית</w:t>
      </w:r>
      <w:r>
        <w:rPr>
          <w:rtl w:val="true"/>
        </w:rPr>
        <w:t xml:space="preserve">. </w:t>
      </w:r>
      <w:r>
        <w:rPr>
          <w:rtl w:val="true"/>
        </w:rPr>
        <w:t>אכן מלבד העובדה שהנאשם תקף את חברתה של בת זוגו אין אלימות כלפי בת זוגו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ישנם מעשים</w:t>
      </w:r>
      <w:r>
        <w:rPr>
          <w:rtl w:val="true"/>
        </w:rPr>
        <w:t xml:space="preserve">, </w:t>
      </w:r>
      <w:r>
        <w:rPr>
          <w:rtl w:val="true"/>
        </w:rPr>
        <w:t>הנעשים בגדר הסכסוך הזוגי שאף על פי שאין בהם אלימות ממשית יש בהם פוטנציאל אלימות רב ביותר</w:t>
      </w:r>
      <w:r>
        <w:rPr>
          <w:rtl w:val="true"/>
        </w:rPr>
        <w:t xml:space="preserve">.  </w:t>
      </w:r>
      <w:r>
        <w:rPr>
          <w:rtl w:val="true"/>
        </w:rPr>
        <w:t>לא ארבה הדיבור על כך אלא אפנה לעבירת האיומים שיש בה פוטנציאל האלימות אך אין אלימות פיסית</w:t>
      </w:r>
      <w:r>
        <w:rPr>
          <w:rtl w:val="true"/>
        </w:rPr>
        <w:t xml:space="preserve">. </w:t>
      </w:r>
      <w:r>
        <w:rPr>
          <w:rtl w:val="true"/>
        </w:rPr>
        <w:t>צו הנועד להגן על אדם ומופר על ידי מי שכנגדו מופנה הצו</w:t>
      </w:r>
      <w:r>
        <w:rPr>
          <w:rtl w:val="true"/>
        </w:rPr>
        <w:t xml:space="preserve">, </w:t>
      </w:r>
      <w:r>
        <w:rPr>
          <w:rtl w:val="true"/>
        </w:rPr>
        <w:t>יש בכך כדי פוטנציאל אלימות</w:t>
      </w:r>
      <w:r>
        <w:rPr>
          <w:rtl w:val="true"/>
        </w:rPr>
        <w:t xml:space="preserve">. </w:t>
      </w:r>
      <w:r>
        <w:rPr>
          <w:rtl w:val="true"/>
        </w:rPr>
        <w:t>לא שכחתי כפי שציינתי לעיל כי הנאשם נקט אלימות כלפי חברתה של בת זוגו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אפנה לאמור בתסקיר שרות המבחן</w:t>
      </w:r>
      <w:r>
        <w:rPr>
          <w:rtl w:val="true"/>
        </w:rPr>
        <w:t xml:space="preserve">. </w:t>
      </w:r>
      <w:r>
        <w:rPr>
          <w:rtl w:val="true"/>
        </w:rPr>
        <w:t>גם בעניין זה הפנה ב</w:t>
      </w:r>
      <w:r>
        <w:rPr>
          <w:rtl w:val="true"/>
        </w:rPr>
        <w:t>"</w:t>
      </w:r>
      <w:r>
        <w:rPr>
          <w:rtl w:val="true"/>
        </w:rPr>
        <w:t>כ הנאשם חציו  כנגד התסקיר</w:t>
      </w:r>
      <w:r>
        <w:rPr>
          <w:rtl w:val="true"/>
        </w:rPr>
        <w:t xml:space="preserve">. </w:t>
      </w:r>
      <w:r>
        <w:rPr>
          <w:rtl w:val="true"/>
        </w:rPr>
        <w:t>אין בכך ולא כלום</w:t>
      </w:r>
      <w:r>
        <w:rPr>
          <w:rtl w:val="true"/>
        </w:rPr>
        <w:t xml:space="preserve">. </w:t>
      </w:r>
      <w:r>
        <w:rPr>
          <w:rtl w:val="true"/>
        </w:rPr>
        <w:t>שרות המבחן בדרך כלל וכתמיד אומר</w:t>
      </w:r>
      <w:r>
        <w:rPr>
          <w:rtl w:val="true"/>
        </w:rPr>
        <w:t xml:space="preserve">, </w:t>
      </w:r>
      <w:r>
        <w:rPr>
          <w:rtl w:val="true"/>
        </w:rPr>
        <w:t>עושה עבודה נאמנה</w:t>
      </w:r>
      <w:r>
        <w:rPr>
          <w:rtl w:val="true"/>
        </w:rPr>
        <w:t xml:space="preserve">,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באופן בהיר</w:t>
      </w:r>
      <w:r>
        <w:rPr>
          <w:rtl w:val="true"/>
        </w:rPr>
        <w:t xml:space="preserve">, </w:t>
      </w:r>
      <w:r>
        <w:rPr>
          <w:rtl w:val="true"/>
        </w:rPr>
        <w:t>ברור ונחרץ</w:t>
      </w:r>
      <w:r>
        <w:rPr>
          <w:rtl w:val="true"/>
        </w:rPr>
        <w:t xml:space="preserve">. </w:t>
      </w:r>
      <w:r>
        <w:rPr>
          <w:rtl w:val="true"/>
        </w:rPr>
        <w:t>עיינתי עיין היטב בתסקיר שלפני</w:t>
      </w:r>
      <w:r>
        <w:rPr>
          <w:rtl w:val="true"/>
        </w:rPr>
        <w:t xml:space="preserve">, </w:t>
      </w:r>
      <w:r>
        <w:rPr>
          <w:rtl w:val="true"/>
        </w:rPr>
        <w:t>אינני מוצא שמץ של פגם או סימן שאלה באמור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התסקיר איננו תומך בנאשם</w:t>
      </w:r>
      <w:r>
        <w:rPr>
          <w:rtl w:val="true"/>
        </w:rPr>
        <w:t xml:space="preserve">, </w:t>
      </w:r>
      <w:r>
        <w:rPr>
          <w:rtl w:val="true"/>
        </w:rPr>
        <w:t>מסיבות ברורות לא אצטט דבירם מתוך האמור בתסקיר אלא שעולה תמונה עגומה של אדם הקשה להכיר בהתנהגותו התוקפנית ודי בכך כדי להובילני לגזר הדין הראוי והנכון לדעתי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 סיום אזכיר כי לנאשם הרשעה קודמת של אלימות כלפי בת זוגו</w:t>
      </w:r>
      <w:r>
        <w:rPr>
          <w:rtl w:val="true"/>
        </w:rPr>
        <w:t xml:space="preserve">. </w:t>
      </w:r>
      <w:r>
        <w:rPr>
          <w:rtl w:val="true"/>
        </w:rPr>
        <w:t>הנאשם הורשע בעבירות של תקיפה</w:t>
      </w:r>
      <w:r>
        <w:rPr>
          <w:rtl w:val="true"/>
        </w:rPr>
        <w:t xml:space="preserve">, </w:t>
      </w:r>
      <w:r>
        <w:rPr>
          <w:rtl w:val="true"/>
        </w:rPr>
        <w:t>תקיפת בת זוג ואיומים</w:t>
      </w:r>
      <w:r>
        <w:rPr>
          <w:rtl w:val="true"/>
        </w:rPr>
        <w:t xml:space="preserve">.  </w:t>
      </w:r>
      <w:r>
        <w:rPr>
          <w:rtl w:val="true"/>
        </w:rPr>
        <w:t>הושת על הנאשם עונש של מאסר על תנאי והתחייבות</w:t>
      </w:r>
      <w:r>
        <w:rPr>
          <w:rtl w:val="true"/>
        </w:rPr>
        <w:t xml:space="preserve">. </w:t>
      </w:r>
      <w:r>
        <w:rPr>
          <w:rtl w:val="true"/>
        </w:rPr>
        <w:t>נראה כי המעשה השיפוטי הזה לא תרם במשהו כדי למתן התנהגותו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הדיון שמעתי דברי ב</w:t>
      </w:r>
      <w:r>
        <w:rPr>
          <w:rtl w:val="true"/>
        </w:rPr>
        <w:t>"</w:t>
      </w:r>
      <w:r>
        <w:rPr>
          <w:rtl w:val="true"/>
        </w:rPr>
        <w:t>כ הנאשם ושמעתי דברי הנאשם עצמו</w:t>
      </w:r>
      <w:r>
        <w:rPr>
          <w:rtl w:val="true"/>
        </w:rPr>
        <w:t xml:space="preserve">. </w:t>
      </w:r>
      <w:r>
        <w:rPr>
          <w:rtl w:val="true"/>
        </w:rPr>
        <w:t>הרושם שעשה עלי הנאשם הוא שהוא עדיין בשלב זה עמוס תסכול וזעם כלפי בת זוגו</w:t>
      </w:r>
      <w:r>
        <w:rPr>
          <w:rtl w:val="true"/>
        </w:rPr>
        <w:t xml:space="preserve">. </w:t>
      </w:r>
      <w:r>
        <w:rPr>
          <w:rtl w:val="true"/>
        </w:rPr>
        <w:t>אי אפשר להתעלם מכך</w:t>
      </w:r>
      <w:r>
        <w:rPr>
          <w:rtl w:val="true"/>
        </w:rPr>
        <w:t xml:space="preserve">. </w:t>
      </w:r>
      <w:r>
        <w:rPr>
          <w:rtl w:val="true"/>
        </w:rPr>
        <w:t>אי אפשר להתעלם במסגרת הסכסוך העומד ותלוי והקיים כיום</w:t>
      </w:r>
      <w:r>
        <w:rPr>
          <w:rtl w:val="true"/>
        </w:rPr>
        <w:t xml:space="preserve">, </w:t>
      </w:r>
      <w:r>
        <w:rPr>
          <w:rtl w:val="true"/>
        </w:rPr>
        <w:t>חש הנאשם תסכול כה עמוק כלפי בת זוגו</w:t>
      </w:r>
      <w:r>
        <w:rPr>
          <w:rtl w:val="true"/>
        </w:rPr>
        <w:t xml:space="preserve">. </w:t>
      </w:r>
      <w:r>
        <w:rPr>
          <w:rtl w:val="true"/>
        </w:rPr>
        <w:t>לטעמו הוא אשר נרדף</w:t>
      </w:r>
      <w:r>
        <w:rPr>
          <w:rtl w:val="true"/>
        </w:rPr>
        <w:t xml:space="preserve">, </w:t>
      </w:r>
      <w:r>
        <w:rPr>
          <w:rtl w:val="true"/>
        </w:rPr>
        <w:t>הוא אשר מוכה והוא החלש</w:t>
      </w:r>
      <w:r>
        <w:rPr>
          <w:rtl w:val="true"/>
        </w:rPr>
        <w:t xml:space="preserve">.  </w:t>
      </w:r>
      <w:r>
        <w:rPr>
          <w:rtl w:val="true"/>
        </w:rPr>
        <w:t>תסכולים אלה טומנים בחובם זרע פורענות של 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מכלול הנסיבות שלפני אלה העונשים שאני גוזר על 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שבמשך שלוש שנים מיום שחרור הנאשם ממאסר לא יעבור עבירה שיש עימה מרכיב של אלימות כלפי גוף אדם</w:t>
      </w:r>
      <w:r>
        <w:rPr>
          <w:rtl w:val="true"/>
        </w:rPr>
        <w:t xml:space="preserve">, </w:t>
      </w:r>
      <w:r>
        <w:rPr>
          <w:rtl w:val="true"/>
        </w:rPr>
        <w:t>לרבות העבירות בהן הורשע 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המקרה ולא משום שאני מקל ראש במעשים שעשה הנאשם</w:t>
      </w:r>
      <w:r>
        <w:rPr>
          <w:rtl w:val="true"/>
        </w:rPr>
        <w:t xml:space="preserve">, </w:t>
      </w:r>
      <w:r>
        <w:rPr>
          <w:rtl w:val="true"/>
        </w:rPr>
        <w:t>אלא משום שגזרתי על הנאשם מאסר  ולאחר שאני שוקל שיקולים רלוונטיים לעניין</w:t>
      </w:r>
      <w:r>
        <w:rPr>
          <w:rtl w:val="true"/>
        </w:rPr>
        <w:t xml:space="preserve">, </w:t>
      </w:r>
      <w:r>
        <w:rPr>
          <w:rtl w:val="true"/>
        </w:rPr>
        <w:t>אינני פוסק פיצוי למתלוננות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יחד עם זאת  אני מחייב את הנאשם בתשלום  קנס על סך </w:t>
      </w:r>
      <w:r>
        <w:rPr/>
        <w:t>500</w:t>
      </w:r>
      <w:r>
        <w:rPr>
          <w:rtl w:val="true"/>
        </w:rPr>
        <w:t xml:space="preserve">  ₪ </w:t>
      </w:r>
      <w:r>
        <w:rPr>
          <w:rtl w:val="true"/>
        </w:rPr>
        <w:t>או חודש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הקנס ישולם עד ליום </w:t>
      </w:r>
      <w:r>
        <w:rPr/>
        <w:t>15/5/2010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r>
        <w:br w:type="page"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לאחר הפסקה חוזרים הצדדים לאולם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מסכים לעבודות שרות ומבקש לקבל חוות דעת מטעם 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נדחה ליום  </w:t>
      </w:r>
      <w:r>
        <w:rPr>
          <w:b/>
          <w:bCs/>
          <w:u w:val="single"/>
        </w:rPr>
        <w:t>16/6/2010</w:t>
      </w:r>
      <w:r>
        <w:rPr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 xml:space="preserve">שעה  </w:t>
      </w:r>
      <w:r>
        <w:rPr>
          <w:b/>
          <w:bCs/>
          <w:u w:val="single"/>
        </w:rPr>
        <w:t>13:00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לקבלת חוות דעת הממונה על עבודות שרות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פקס ב</w:t>
      </w:r>
      <w:r>
        <w:rPr>
          <w:rtl w:val="true"/>
        </w:rPr>
        <w:t>"</w:t>
      </w:r>
      <w:r>
        <w:rPr>
          <w:rtl w:val="true"/>
        </w:rPr>
        <w:t>כ הנאשם עו</w:t>
      </w:r>
      <w:r>
        <w:rPr>
          <w:rtl w:val="true"/>
        </w:rPr>
        <w:t>"</w:t>
      </w:r>
      <w:r>
        <w:rPr>
          <w:rtl w:val="true"/>
        </w:rPr>
        <w:t xml:space="preserve">ד שי  וולשי  </w:t>
      </w:r>
      <w:r>
        <w:rPr/>
        <w:t>03-9008606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על המזכירות לשלוח העתק החלטה וכתב האישום לממונה על עבודות 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הוזהר בדבר חובת התייצבותו לדיון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הימן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יפעת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מינאי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/Users/liorb/Downloads/study2025-p2/SH-09-3756-484.doc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3756-09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 xml:space="preserve">א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מרדכי פלוריאן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2016-07-06T10:36:00Z</dcterms:created>
  <dc:creator> </dc:creator>
  <dc:description/>
  <cp:keywords/>
  <dc:language>en-IL</dc:language>
  <cp:lastModifiedBy>hofit</cp:lastModifiedBy>
  <dcterms:modified xsi:type="dcterms:W3CDTF">2016-07-06T10:36:00Z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מרדכי פלוריאן</vt:lpwstr>
  </property>
  <property fmtid="{D5CDD505-2E9C-101B-9397-08002B2CF9AE}" pid="4" name="CITY">
    <vt:lpwstr>ראשל"צ</vt:lpwstr>
  </property>
  <property fmtid="{D5CDD505-2E9C-101B-9397-08002B2CF9AE}" pid="5" name="DATE">
    <vt:lpwstr>20100414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אברהם הימן</vt:lpwstr>
  </property>
  <property fmtid="{D5CDD505-2E9C-101B-9397-08002B2CF9AE}" pid="9" name="LAWYER">
    <vt:lpwstr>אפרת ליפשיץ;שי וולשי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3756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3756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09 3756 484 htm</vt:lpwstr>
  </property>
  <property fmtid="{D5CDD505-2E9C-101B-9397-08002B2CF9AE}" pid="34" name="TYPE">
    <vt:lpwstr>3</vt:lpwstr>
  </property>
  <property fmtid="{D5CDD505-2E9C-101B-9397-08002B2CF9AE}" pid="35" name="TYPE_ABS_DATE">
    <vt:lpwstr>380020100414</vt:lpwstr>
  </property>
  <property fmtid="{D5CDD505-2E9C-101B-9397-08002B2CF9AE}" pid="36" name="TYPE_N_DATE">
    <vt:lpwstr>38020100414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