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37761-04-10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ספדיה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מורן מרגלית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בשם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סרי חורי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הנאשם הובא באמצעות הליוי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192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b/>
            <w:bCs/>
          </w:rPr>
          <w:t>413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ד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'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bookmarkStart w:id="6" w:name="LastJudge"/>
      <w:bookmarkStart w:id="7" w:name="PsakDin"/>
      <w:bookmarkEnd w:id="6"/>
      <w:bookmarkEnd w:id="7"/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 הודה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בכתב אישום מתוקן מיום </w:t>
      </w:r>
      <w:r>
        <w:rPr/>
        <w:t>23.6.10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שהוגש בתיק זה</w:t>
      </w:r>
      <w:r>
        <w:rPr>
          <w:rtl w:val="true"/>
        </w:rPr>
        <w:t xml:space="preserve">, </w:t>
      </w:r>
      <w:r>
        <w:rPr>
          <w:rtl w:val="true"/>
        </w:rPr>
        <w:t>וכן בכתב אישום מתוקן שהוגש 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4551-2-09</w:t>
      </w:r>
      <w:r>
        <w:rPr>
          <w:rtl w:val="true"/>
        </w:rPr>
        <w:t xml:space="preserve"> </w:t>
      </w:r>
      <w:r>
        <w:rPr>
          <w:rtl w:val="true"/>
        </w:rPr>
        <w:t xml:space="preserve">לבית משפט השלום בנצרת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וצורף לתיק זה לפי בקשת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</w:t>
      </w:r>
      <w:bookmarkStart w:id="10" w:name="ABSTRACT_START"/>
      <w:bookmarkEnd w:id="10"/>
      <w:r>
        <w:rPr>
          <w:rtl w:val="true"/>
        </w:rPr>
        <w:t>סמך הודאתו של הנאשם בכתב האישום המתוקן בתיק זה</w:t>
      </w:r>
      <w:r>
        <w:rPr>
          <w:rtl w:val="true"/>
        </w:rPr>
        <w:t xml:space="preserve">, </w:t>
      </w:r>
      <w:r>
        <w:rPr>
          <w:rtl w:val="true"/>
        </w:rPr>
        <w:t>הוא הורשע בעבירות של נשיאת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bookmarkStart w:id="11" w:name="ABSTRACT_END"/>
      <w:bookmarkEnd w:id="11"/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 </w:t>
      </w:r>
      <w:r>
        <w:rPr>
          <w:rtl w:val="true"/>
        </w:rPr>
        <w:t>וגניבה מרכב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>בגין התיק שצורף הורשע הנאשם באיומים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הסדר הטיעון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 לאחר הגשת תסקיר בעניינו של הנאשם</w:t>
      </w:r>
      <w:r>
        <w:rPr>
          <w:rtl w:val="true"/>
        </w:rPr>
        <w:t xml:space="preserve">, </w:t>
      </w:r>
      <w:r>
        <w:rPr>
          <w:rtl w:val="true"/>
        </w:rPr>
        <w:t>תטען המאשימה לעונש ראוי שלא יפחת מ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שיכלול הפעלת מאסר מותנה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4439-09-07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בית משפט השלום בטבריה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וכן תטען לעונשים נלווים</w:t>
      </w:r>
      <w:r>
        <w:rPr>
          <w:rtl w:val="true"/>
        </w:rPr>
        <w:t xml:space="preserve">, </w:t>
      </w:r>
      <w:r>
        <w:rPr>
          <w:rtl w:val="true"/>
        </w:rPr>
        <w:t>כאשר הסנגוריה תטען כראות עיניה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על פי התמונה העולה מעובדות כתב האישום בתיק זה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 xml:space="preserve">בין התאריכים </w:t>
      </w:r>
      <w:r>
        <w:rPr/>
        <w:t>22.4-23.4.10</w:t>
      </w:r>
      <w:r>
        <w:rPr>
          <w:rtl w:val="true"/>
        </w:rPr>
        <w:t xml:space="preserve">, </w:t>
      </w:r>
      <w:r>
        <w:rPr>
          <w:rtl w:val="true"/>
        </w:rPr>
        <w:t>בשעות הלילה</w:t>
      </w:r>
      <w:r>
        <w:rPr>
          <w:rtl w:val="true"/>
        </w:rPr>
        <w:t xml:space="preserve">, </w:t>
      </w:r>
      <w:r>
        <w:rPr>
          <w:rtl w:val="true"/>
        </w:rPr>
        <w:t>נערכה מסיבה ברח</w:t>
      </w:r>
      <w:r>
        <w:rPr>
          <w:rtl w:val="true"/>
        </w:rPr>
        <w:t xml:space="preserve">' </w:t>
      </w:r>
      <w:r>
        <w:rPr>
          <w:rtl w:val="true"/>
        </w:rPr>
        <w:t xml:space="preserve">הנשיאים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במגדל העמק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"), </w:t>
      </w:r>
      <w:r>
        <w:rPr>
          <w:rtl w:val="true"/>
        </w:rPr>
        <w:t>אשר נכח בה הנאשם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23.4.10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לפנות בוקר או סמוך לכך</w:t>
      </w:r>
      <w:r>
        <w:rPr>
          <w:rtl w:val="true"/>
        </w:rPr>
        <w:t xml:space="preserve">, </w:t>
      </w:r>
      <w:r>
        <w:rPr>
          <w:rtl w:val="true"/>
        </w:rPr>
        <w:t>התקבל דווח על הפרעת מנוחה עקב רעש שעלה מהבית</w:t>
      </w:r>
      <w:r>
        <w:rPr>
          <w:rtl w:val="true"/>
        </w:rPr>
        <w:t xml:space="preserve">, </w:t>
      </w:r>
      <w:r>
        <w:rPr>
          <w:rtl w:val="true"/>
        </w:rPr>
        <w:t xml:space="preserve">בעקבותיו הגיעה למקום ניידת משטרה נהוגה על ידי השוטרת שני מלכה כשלצידה יושב השוטר בולוס טנוס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הניידת</w:t>
      </w:r>
      <w:r>
        <w:rPr>
          <w:rtl w:val="true"/>
        </w:rPr>
        <w:t xml:space="preserve">"). </w:t>
      </w:r>
      <w:r>
        <w:rPr>
          <w:rtl w:val="true"/>
        </w:rPr>
        <w:t>השוטרים יצאו מהניידת ונכנסו לבית</w:t>
      </w:r>
      <w:r>
        <w:rPr>
          <w:rtl w:val="true"/>
        </w:rPr>
        <w:t xml:space="preserve">; </w:t>
      </w:r>
      <w:r>
        <w:rPr>
          <w:rtl w:val="true"/>
        </w:rPr>
        <w:t>או אז יצא הנאשם מהבית</w:t>
      </w:r>
      <w:r>
        <w:rPr>
          <w:rtl w:val="true"/>
        </w:rPr>
        <w:t xml:space="preserve">, </w:t>
      </w:r>
      <w:r>
        <w:rPr>
          <w:rtl w:val="true"/>
        </w:rPr>
        <w:t>ומשראה את הניידת ללא שוטרים</w:t>
      </w:r>
      <w:r>
        <w:rPr>
          <w:rtl w:val="true"/>
        </w:rPr>
        <w:t xml:space="preserve">, </w:t>
      </w:r>
      <w:r>
        <w:rPr>
          <w:rtl w:val="true"/>
        </w:rPr>
        <w:t>ניגש אל הניידת</w:t>
      </w:r>
      <w:r>
        <w:rPr>
          <w:rtl w:val="true"/>
        </w:rPr>
        <w:t xml:space="preserve">, </w:t>
      </w:r>
      <w:r>
        <w:rPr>
          <w:rtl w:val="true"/>
        </w:rPr>
        <w:t>פתח את דלת מושב הנוסע ליד הנהג ונטל מתוכה רובה אם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 xml:space="preserve">אשר היה מונח תחת מושב הישיבה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ללא הסכמת השוטרים</w:t>
      </w:r>
      <w:r>
        <w:rPr>
          <w:rtl w:val="true"/>
        </w:rPr>
        <w:t xml:space="preserve">, </w:t>
      </w:r>
      <w:r>
        <w:rPr>
          <w:rtl w:val="true"/>
        </w:rPr>
        <w:t>כשהוא מתכוון בשעת הנטילה לשלול את הנשק שלילת קבע</w:t>
      </w:r>
      <w:r>
        <w:rPr>
          <w:rtl w:val="true"/>
        </w:rPr>
        <w:t xml:space="preserve">. </w:t>
      </w:r>
      <w:r>
        <w:rPr>
          <w:rtl w:val="true"/>
        </w:rPr>
        <w:t>הנאשם נשא את הנשק והובילו לפינת הרחובות גלעד ועצמון</w:t>
      </w:r>
      <w:r>
        <w:rPr>
          <w:rtl w:val="true"/>
        </w:rPr>
        <w:t xml:space="preserve">, </w:t>
      </w:r>
      <w:r>
        <w:rPr>
          <w:rtl w:val="true"/>
        </w:rPr>
        <w:t>שם הסליקו תוך שהוא מכסה את הנשק בענפים וחול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 המתוארים לעיל</w:t>
      </w:r>
      <w:r>
        <w:rPr>
          <w:rtl w:val="true"/>
        </w:rPr>
        <w:t xml:space="preserve">, </w:t>
      </w:r>
      <w:r>
        <w:rPr>
          <w:rtl w:val="true"/>
        </w:rPr>
        <w:t>גנב הנאשם נשק מתוך הניידת ונשא אותו בלי רשות על פי דין לנשיאתו והובלתו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ואילו על פי התמונה העולה מכתב האישום המתוקן בת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זה שהוגש לבית משפט השלום בנצרת 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4551-2-09</w:t>
      </w:r>
      <w:r>
        <w:rPr>
          <w:rtl w:val="true"/>
        </w:rPr>
        <w:t xml:space="preserve"> </w:t>
      </w:r>
      <w:r>
        <w:rPr>
          <w:rtl w:val="true"/>
        </w:rPr>
        <w:t>וצורף לתיק זה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25.11.08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12:40</w:t>
      </w:r>
      <w:r>
        <w:rPr>
          <w:rtl w:val="true"/>
        </w:rPr>
        <w:t xml:space="preserve"> </w:t>
      </w:r>
      <w:r>
        <w:rPr>
          <w:rtl w:val="true"/>
        </w:rPr>
        <w:t>בדרך העצמאות סמוך ללשכת התעסוקה במגדל העמק</w:t>
      </w:r>
      <w:r>
        <w:rPr>
          <w:rtl w:val="true"/>
        </w:rPr>
        <w:t xml:space="preserve">, </w:t>
      </w:r>
      <w:r>
        <w:rPr>
          <w:rtl w:val="true"/>
        </w:rPr>
        <w:t>לאחר שנרשם לנאשם דו</w:t>
      </w:r>
      <w:r>
        <w:rPr>
          <w:rtl w:val="true"/>
        </w:rPr>
        <w:t>"</w:t>
      </w:r>
      <w:r>
        <w:rPr>
          <w:rtl w:val="true"/>
        </w:rPr>
        <w:t>ח בגין חנייה במקום אסור</w:t>
      </w:r>
      <w:r>
        <w:rPr>
          <w:rtl w:val="true"/>
        </w:rPr>
        <w:t xml:space="preserve">, </w:t>
      </w:r>
      <w:r>
        <w:rPr>
          <w:rtl w:val="true"/>
        </w:rPr>
        <w:t>איים הנאשם על גב</w:t>
      </w:r>
      <w:r>
        <w:rPr>
          <w:rtl w:val="true"/>
        </w:rPr>
        <w:t xml:space="preserve">' </w:t>
      </w:r>
      <w:r>
        <w:rPr>
          <w:rtl w:val="true"/>
        </w:rPr>
        <w:t>אתי בן מרגי</w:t>
      </w:r>
      <w:r>
        <w:rPr>
          <w:rtl w:val="true"/>
        </w:rPr>
        <w:t xml:space="preserve">, </w:t>
      </w:r>
      <w:r>
        <w:rPr>
          <w:rtl w:val="true"/>
        </w:rPr>
        <w:t>פקחית בעיריית מגדל העמק</w:t>
      </w:r>
      <w:r>
        <w:rPr>
          <w:rtl w:val="true"/>
        </w:rPr>
        <w:t xml:space="preserve">, </w:t>
      </w:r>
      <w:r>
        <w:rPr>
          <w:rtl w:val="true"/>
        </w:rPr>
        <w:t>שרשמה את 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בפגיעה שלא כדין בגופה</w:t>
      </w:r>
      <w:r>
        <w:rPr>
          <w:rtl w:val="true"/>
        </w:rPr>
        <w:t xml:space="preserve">, </w:t>
      </w:r>
      <w:r>
        <w:rPr>
          <w:rtl w:val="true"/>
        </w:rPr>
        <w:t xml:space="preserve">בכך שאמר לה </w:t>
      </w:r>
      <w:r>
        <w:rPr>
          <w:rtl w:val="true"/>
        </w:rPr>
        <w:t>"</w:t>
      </w:r>
      <w:r>
        <w:rPr>
          <w:rtl w:val="true"/>
        </w:rPr>
        <w:t>אני יזיין אותך ויכניס לך שפיץ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מתסקיר שירות המבחן מיום </w:t>
      </w:r>
      <w:r>
        <w:rPr/>
        <w:t>26.8.10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בנאשם בן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 למשפחה המונה זוג הורים ושמונה ילדים</w:t>
      </w:r>
      <w:r>
        <w:rPr>
          <w:rtl w:val="true"/>
        </w:rPr>
        <w:t xml:space="preserve">; </w:t>
      </w:r>
      <w:r>
        <w:rPr>
          <w:rtl w:val="true"/>
        </w:rPr>
        <w:t>אביו התאבד לפני כ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אמו בשנות השישים לחייה מובטלת</w:t>
      </w:r>
      <w:r>
        <w:rPr>
          <w:rtl w:val="true"/>
        </w:rPr>
        <w:t xml:space="preserve">; </w:t>
      </w:r>
      <w:r>
        <w:rPr>
          <w:rtl w:val="true"/>
        </w:rPr>
        <w:t xml:space="preserve">הנאשם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ולאחר מכן התגייס לצבא</w:t>
      </w:r>
      <w:r>
        <w:rPr>
          <w:rtl w:val="true"/>
        </w:rPr>
        <w:t xml:space="preserve">, </w:t>
      </w:r>
      <w:r>
        <w:rPr>
          <w:rtl w:val="true"/>
        </w:rPr>
        <w:t>אך נפלט לאחר תקופה של 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מחוסר התאמה</w:t>
      </w:r>
      <w:r>
        <w:rPr>
          <w:rtl w:val="true"/>
        </w:rPr>
        <w:t xml:space="preserve">. </w:t>
      </w:r>
      <w:r>
        <w:rPr>
          <w:rtl w:val="true"/>
        </w:rPr>
        <w:t xml:space="preserve">בהיותו בן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אחיו הגדול רצח את אחייניתו בת ה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; </w:t>
      </w:r>
      <w:r>
        <w:rPr>
          <w:rtl w:val="true"/>
        </w:rPr>
        <w:t>לדברי הנאשם</w:t>
      </w:r>
      <w:r>
        <w:rPr>
          <w:rtl w:val="true"/>
        </w:rPr>
        <w:t xml:space="preserve">, </w:t>
      </w:r>
      <w:r>
        <w:rPr>
          <w:rtl w:val="true"/>
        </w:rPr>
        <w:t>אחיו הגדול סבל ממצב נפשי קשה לאחר מות האב והדרדר לעולם הסמים</w:t>
      </w:r>
      <w:r>
        <w:rPr>
          <w:rtl w:val="true"/>
        </w:rPr>
        <w:t xml:space="preserve">; </w:t>
      </w:r>
      <w:r>
        <w:rPr>
          <w:rtl w:val="true"/>
        </w:rPr>
        <w:t>הנאשם ציין בפני קצינת המבחן</w:t>
      </w:r>
      <w:r>
        <w:rPr>
          <w:rtl w:val="true"/>
        </w:rPr>
        <w:t xml:space="preserve">, </w:t>
      </w:r>
      <w:r>
        <w:rPr>
          <w:rtl w:val="true"/>
        </w:rPr>
        <w:t>כי הוא גדל באוירה משפחתית קשה ומורכבת</w:t>
      </w:r>
      <w:r>
        <w:rPr>
          <w:rtl w:val="true"/>
        </w:rPr>
        <w:t xml:space="preserve">, </w:t>
      </w:r>
      <w:r>
        <w:rPr>
          <w:rtl w:val="true"/>
        </w:rPr>
        <w:t>עבר תקופת התבגרות בעייתית וקשה לנוכח התאבדות האב ורצח האחיינית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מגיל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הדרדר לסמים ואלכוהול ונהג להשתמש בסוגים שונים של סמים</w:t>
      </w:r>
      <w:r>
        <w:rPr>
          <w:rtl w:val="true"/>
        </w:rPr>
        <w:t xml:space="preserve">; </w:t>
      </w:r>
      <w:r>
        <w:rPr>
          <w:rtl w:val="true"/>
        </w:rPr>
        <w:t>בהמשך הפסיק את השימוש בסמים בכוחות עצמו אולם התמכר לאלכוהול ומזה כשנה וחצי הוא נוטל תרופות נוגדות דכאון וחרדה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לעבירה</w:t>
      </w:r>
      <w:r>
        <w:rPr>
          <w:rtl w:val="true"/>
        </w:rPr>
        <w:t xml:space="preserve">, </w:t>
      </w:r>
      <w:r>
        <w:rPr>
          <w:rtl w:val="true"/>
        </w:rPr>
        <w:t>הנאשם קיבל אחריות לעובדות המצויינות בכתב האישום</w:t>
      </w:r>
      <w:r>
        <w:rPr>
          <w:rtl w:val="true"/>
        </w:rPr>
        <w:t xml:space="preserve">; </w:t>
      </w:r>
      <w:r>
        <w:rPr>
          <w:rtl w:val="true"/>
        </w:rPr>
        <w:t>לדבריו הוא היה תחת השפעת אלכוהול והתכוון לגנוב דבר מה בעל ערך</w:t>
      </w:r>
      <w:r>
        <w:rPr>
          <w:rtl w:val="true"/>
        </w:rPr>
        <w:t xml:space="preserve">, </w:t>
      </w:r>
      <w:r>
        <w:rPr>
          <w:rtl w:val="true"/>
        </w:rPr>
        <w:t>וברגע שמצא את הנשק לא חשב כלל</w:t>
      </w:r>
      <w:r>
        <w:rPr>
          <w:rtl w:val="true"/>
        </w:rPr>
        <w:t xml:space="preserve">, </w:t>
      </w:r>
      <w:r>
        <w:rPr>
          <w:rtl w:val="true"/>
        </w:rPr>
        <w:t>לקח אותו והחביאו</w:t>
      </w:r>
      <w:r>
        <w:rPr>
          <w:rtl w:val="true"/>
        </w:rPr>
        <w:t xml:space="preserve">. </w:t>
      </w:r>
      <w:r>
        <w:rPr>
          <w:rtl w:val="true"/>
        </w:rPr>
        <w:t>הנאשם ביטא חרטה ומודעות לכשלונו ההתנהגותי ומבין כי עליו לשלם את המחיר בגין מעשיו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קצינת המבחן התרשמה מהיות הנאשם מגונן ומסוגר רגשית</w:t>
      </w:r>
      <w:r>
        <w:rPr>
          <w:rtl w:val="true"/>
        </w:rPr>
        <w:t xml:space="preserve">. </w:t>
      </w: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במהלך השנים ולנוכח הקשיים והמצוקות הרגשיות והמשפחתיות אליהן נקלע הנאשם מגיל צעיר</w:t>
      </w:r>
      <w:r>
        <w:rPr>
          <w:rtl w:val="true"/>
        </w:rPr>
        <w:t xml:space="preserve">, </w:t>
      </w:r>
      <w:r>
        <w:rPr>
          <w:rtl w:val="true"/>
        </w:rPr>
        <w:t>הוא נותר חסר תחושת שייכות ובטחון ועקב כך הוא פיתח וסיגל לעצמו נורמות ודפוסי חשיבה והתנהגות המנוגדים לנורמות החברתיות המקובלות</w:t>
      </w:r>
      <w:r>
        <w:rPr>
          <w:rtl w:val="true"/>
        </w:rPr>
        <w:t xml:space="preserve">; </w:t>
      </w:r>
      <w:r>
        <w:rPr>
          <w:rtl w:val="true"/>
        </w:rPr>
        <w:t>כל אלה מצביעים על סיכוי גבוה להישנות התנהגות עבריינית בעתיד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סבורה קצינת המבחן</w:t>
      </w:r>
      <w:r>
        <w:rPr>
          <w:rtl w:val="true"/>
        </w:rPr>
        <w:t xml:space="preserve">, </w:t>
      </w:r>
      <w:r>
        <w:rPr>
          <w:rtl w:val="true"/>
        </w:rPr>
        <w:t>כי ענישה בעלת גבולות ברורים ומוחשיים בדמות של מאסר</w:t>
      </w:r>
      <w:r>
        <w:rPr>
          <w:rtl w:val="true"/>
        </w:rPr>
        <w:t xml:space="preserve">, </w:t>
      </w:r>
      <w:r>
        <w:rPr>
          <w:rtl w:val="true"/>
        </w:rPr>
        <w:t>עשויה להיות מתאימה במקרה זה</w:t>
      </w:r>
      <w:r>
        <w:rPr>
          <w:rtl w:val="true"/>
        </w:rPr>
        <w:t xml:space="preserve">. </w:t>
      </w:r>
      <w:r>
        <w:rPr>
          <w:rtl w:val="true"/>
        </w:rPr>
        <w:t>עוד צויין בתסקיר</w:t>
      </w:r>
      <w:r>
        <w:rPr>
          <w:rtl w:val="true"/>
        </w:rPr>
        <w:t xml:space="preserve">, </w:t>
      </w:r>
      <w:r>
        <w:rPr>
          <w:rtl w:val="true"/>
        </w:rPr>
        <w:t>במידה והנאשם יתמיד ברצונו להיכנס לתהליך טיפולי</w:t>
      </w:r>
      <w:r>
        <w:rPr>
          <w:rtl w:val="true"/>
        </w:rPr>
        <w:t xml:space="preserve">, </w:t>
      </w:r>
      <w:r>
        <w:rPr>
          <w:rtl w:val="true"/>
        </w:rPr>
        <w:t>הוא יוכל לממשו במסגרת 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עברו הפלילי של הנאשם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לחובת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 קודמות בגין עבירות אלימות</w:t>
      </w:r>
      <w:r>
        <w:rPr>
          <w:rtl w:val="true"/>
        </w:rPr>
        <w:t xml:space="preserve">, </w:t>
      </w:r>
      <w:r>
        <w:rPr>
          <w:rtl w:val="true"/>
        </w:rPr>
        <w:t xml:space="preserve">רכוש ונשק ותלוי ועומד נגדו מאסר על תנאי בר הפעלה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 הוטל עליו 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4439-09-07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בית משפט השלום בטבריה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מבקשת לגזור על הנאשם מאסר בפועל ממושך שלא יפחת מ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הפעלת המאסר המותנה במצטבר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מעשיו  הנלוזים של הנאשם מצביעים על מסוכנות גבוהה ביותר הנשקפת ממנו</w:t>
      </w:r>
      <w:r>
        <w:rPr>
          <w:rtl w:val="true"/>
        </w:rPr>
        <w:t xml:space="preserve">, </w:t>
      </w:r>
      <w:r>
        <w:rPr>
          <w:rtl w:val="true"/>
        </w:rPr>
        <w:t>שכן עבירות בתחום הנשק הינן עבירות חמורות ביותר</w:t>
      </w:r>
      <w:r>
        <w:rPr>
          <w:rtl w:val="true"/>
        </w:rPr>
        <w:t xml:space="preserve">, </w:t>
      </w:r>
      <w:r>
        <w:rPr>
          <w:rtl w:val="true"/>
        </w:rPr>
        <w:t>אשר הפכו לרעה חולה בקרבנו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נסיבות ביצוע העבירה הנן חמורות ביותר</w:t>
      </w:r>
      <w:r>
        <w:rPr>
          <w:rtl w:val="true"/>
        </w:rPr>
        <w:t xml:space="preserve">, </w:t>
      </w:r>
      <w:r>
        <w:rPr>
          <w:rtl w:val="true"/>
        </w:rPr>
        <w:t>שכן הנאשם באופן יזום ניגש לעבר הניידת פתח את הדלת ונטל מתוכה את הנשק</w:t>
      </w:r>
      <w:r>
        <w:rPr>
          <w:rtl w:val="true"/>
        </w:rPr>
        <w:t xml:space="preserve">, </w:t>
      </w:r>
      <w:r>
        <w:rPr>
          <w:rtl w:val="true"/>
        </w:rPr>
        <w:t>בקור רוח ובעזות מצח</w:t>
      </w:r>
      <w:r>
        <w:rPr>
          <w:rtl w:val="true"/>
        </w:rPr>
        <w:t xml:space="preserve">, </w:t>
      </w:r>
      <w:r>
        <w:rPr>
          <w:rtl w:val="true"/>
        </w:rPr>
        <w:t>ולאחר מכן נשא את הנשק והסליקו בקרבת מקום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מוסיפה וטוענת</w:t>
      </w:r>
      <w:r>
        <w:rPr>
          <w:rtl w:val="true"/>
        </w:rPr>
        <w:t xml:space="preserve">, </w:t>
      </w:r>
      <w:r>
        <w:rPr>
          <w:rtl w:val="true"/>
        </w:rPr>
        <w:t>כי גניבת נשק מסוג זה שנגנב במקרה דנן</w:t>
      </w:r>
      <w:r>
        <w:rPr>
          <w:rtl w:val="true"/>
        </w:rPr>
        <w:t xml:space="preserve">, </w:t>
      </w:r>
      <w:r>
        <w:rPr>
          <w:rtl w:val="true"/>
        </w:rPr>
        <w:t>דומה למעשה לגניבת נשק מבסיס צבאי</w:t>
      </w:r>
      <w:r>
        <w:rPr>
          <w:rtl w:val="true"/>
        </w:rPr>
        <w:t xml:space="preserve">, </w:t>
      </w:r>
      <w:r>
        <w:rPr>
          <w:rtl w:val="true"/>
        </w:rPr>
        <w:t>שכן מדובר בנשק התקפי מסוכן בעל מצב אוטומט ובעל פוטנציאל להרג בדרגה חמורה יותר מאשר אקדח רגיל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מטרת הסלקת הנשק היתה לעשות בו</w:t>
      </w:r>
      <w:r>
        <w:rPr>
          <w:rtl w:val="true"/>
        </w:rPr>
        <w:t xml:space="preserve">, </w:t>
      </w:r>
      <w:r>
        <w:rPr>
          <w:rtl w:val="true"/>
        </w:rPr>
        <w:t>יותר מאוחר</w:t>
      </w:r>
      <w:r>
        <w:rPr>
          <w:rtl w:val="true"/>
        </w:rPr>
        <w:t xml:space="preserve">, </w:t>
      </w:r>
      <w:r>
        <w:rPr>
          <w:rtl w:val="true"/>
        </w:rPr>
        <w:t>שימוש כזה או אחר</w:t>
      </w:r>
      <w:r>
        <w:rPr>
          <w:rtl w:val="true"/>
        </w:rPr>
        <w:t xml:space="preserve">. </w:t>
      </w:r>
      <w:r>
        <w:rPr>
          <w:rtl w:val="true"/>
        </w:rPr>
        <w:t>לשיטת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גם מעברו הפלילי של הנאשם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ניתן ללמוד על מסוכנותו הרבה ועל כך</w:t>
      </w:r>
      <w:r>
        <w:rPr>
          <w:rtl w:val="true"/>
        </w:rPr>
        <w:t xml:space="preserve">, </w:t>
      </w:r>
      <w:r>
        <w:rPr>
          <w:rtl w:val="true"/>
        </w:rPr>
        <w:t>שמורא החוק לא חל עליו</w:t>
      </w:r>
      <w:r>
        <w:rPr>
          <w:rtl w:val="true"/>
        </w:rPr>
        <w:t xml:space="preserve">, </w:t>
      </w:r>
      <w:r>
        <w:rPr>
          <w:rtl w:val="true"/>
        </w:rPr>
        <w:t xml:space="preserve">הגם שתלוי ועומד נגדו מאסר על תנאי בר הפעלה בגין מעשים דומים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כאשר מקרה זה מהווה הסלמה בהתנהגותו העבריינית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בעבירות מסוג זה האינטרס הציבורי גובר על האינטרס האישי של הנאשם</w:t>
      </w:r>
      <w:r>
        <w:rPr>
          <w:rtl w:val="true"/>
        </w:rPr>
        <w:t xml:space="preserve">, </w:t>
      </w:r>
      <w:r>
        <w:rPr>
          <w:rtl w:val="true"/>
        </w:rPr>
        <w:t>מה גם ששירות המבחן סבור</w:t>
      </w:r>
      <w:r>
        <w:rPr>
          <w:rtl w:val="true"/>
        </w:rPr>
        <w:t xml:space="preserve">, </w:t>
      </w:r>
      <w:r>
        <w:rPr>
          <w:rtl w:val="true"/>
        </w:rPr>
        <w:t>כי ענישה בדמות מאסר עשויה להיות ענישה מתאימה חרף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תוך שהפנתה לפסיקה המלמדת על גישתם המחמירה של בתי המשפט בעבירות מסוג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מבקש להקל עם הנאשם במידת האפשר</w:t>
      </w:r>
      <w:r>
        <w:rPr>
          <w:rtl w:val="true"/>
        </w:rPr>
        <w:t xml:space="preserve">, </w:t>
      </w:r>
      <w:r>
        <w:rPr>
          <w:rtl w:val="true"/>
        </w:rPr>
        <w:t>לתת לו הזדמנות ולא למצות עמו את חומרת הדין</w:t>
      </w:r>
      <w:r>
        <w:rPr>
          <w:rtl w:val="true"/>
        </w:rPr>
        <w:t xml:space="preserve">, </w:t>
      </w:r>
      <w:r>
        <w:rPr>
          <w:rtl w:val="true"/>
        </w:rPr>
        <w:t xml:space="preserve">באופן שהעונש שיושת עליו לא יעלה על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מבקש להתחשב בהודאת הנאשם בהזדמנות הראשונה</w:t>
      </w:r>
      <w:r>
        <w:rPr>
          <w:rtl w:val="true"/>
        </w:rPr>
        <w:t xml:space="preserve">, </w:t>
      </w:r>
      <w:r>
        <w:rPr>
          <w:rtl w:val="true"/>
        </w:rPr>
        <w:t>בהדגישו</w:t>
      </w:r>
      <w:r>
        <w:rPr>
          <w:rtl w:val="true"/>
        </w:rPr>
        <w:t xml:space="preserve">, </w:t>
      </w:r>
      <w:r>
        <w:rPr>
          <w:rtl w:val="true"/>
        </w:rPr>
        <w:t>כי אלמלא הודיתו של הנאשם בחקירתו במשטרה</w:t>
      </w:r>
      <w:r>
        <w:rPr>
          <w:rtl w:val="true"/>
        </w:rPr>
        <w:t xml:space="preserve">, </w:t>
      </w:r>
      <w:r>
        <w:rPr>
          <w:rtl w:val="true"/>
        </w:rPr>
        <w:t>ספק אם התיק היה מגיע לפענוח ולהגשת כתב אישום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הוסיף</w:t>
      </w:r>
      <w:r>
        <w:rPr>
          <w:rtl w:val="true"/>
        </w:rPr>
        <w:t xml:space="preserve">, </w:t>
      </w:r>
      <w:r>
        <w:rPr>
          <w:rtl w:val="true"/>
        </w:rPr>
        <w:t>כי הנאשם נטל אחריות על כל המעשים המתוארים בכתב האישום</w:t>
      </w:r>
      <w:r>
        <w:rPr>
          <w:rtl w:val="true"/>
        </w:rPr>
        <w:t xml:space="preserve">. </w:t>
      </w:r>
      <w:r>
        <w:rPr>
          <w:rtl w:val="true"/>
        </w:rPr>
        <w:t>לשיטת ב</w:t>
      </w:r>
      <w:r>
        <w:rPr>
          <w:rtl w:val="true"/>
        </w:rPr>
        <w:t>"</w:t>
      </w:r>
      <w:r>
        <w:rPr>
          <w:rtl w:val="true"/>
        </w:rPr>
        <w:t>כ הנאשם התיק הזה הוא יותר תיק של גניבה מאשר תיק של נשיאת נשק</w:t>
      </w:r>
      <w:r>
        <w:rPr>
          <w:rtl w:val="true"/>
        </w:rPr>
        <w:t xml:space="preserve">; </w:t>
      </w:r>
      <w:r>
        <w:rPr>
          <w:rtl w:val="true"/>
        </w:rPr>
        <w:t>הנאשם היה במסיבה בתוך בית</w:t>
      </w:r>
      <w:r>
        <w:rPr>
          <w:rtl w:val="true"/>
        </w:rPr>
        <w:t xml:space="preserve">, </w:t>
      </w:r>
      <w:r>
        <w:rPr>
          <w:rtl w:val="true"/>
        </w:rPr>
        <w:t>שתה לשוכרה</w:t>
      </w:r>
      <w:r>
        <w:rPr>
          <w:rtl w:val="true"/>
        </w:rPr>
        <w:t xml:space="preserve">, </w:t>
      </w:r>
      <w:r>
        <w:rPr>
          <w:rtl w:val="true"/>
        </w:rPr>
        <w:t>שיקול דעתו היה מטושטש ועשה את מה שעשה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מבקש לאבחן בין מקרה של נשיאת נשק קלאסית</w:t>
      </w:r>
      <w:r>
        <w:rPr>
          <w:rtl w:val="true"/>
        </w:rPr>
        <w:t xml:space="preserve">, </w:t>
      </w:r>
      <w:r>
        <w:rPr>
          <w:rtl w:val="true"/>
        </w:rPr>
        <w:t>שאדם נושא נשק ברכב</w:t>
      </w:r>
      <w:r>
        <w:rPr>
          <w:rtl w:val="true"/>
        </w:rPr>
        <w:t xml:space="preserve">, </w:t>
      </w:r>
      <w:r>
        <w:rPr>
          <w:rtl w:val="true"/>
        </w:rPr>
        <w:t>לבין נסיבות מקרה דנן</w:t>
      </w:r>
      <w:r>
        <w:rPr>
          <w:rtl w:val="true"/>
        </w:rPr>
        <w:t xml:space="preserve">, </w:t>
      </w:r>
      <w:r>
        <w:rPr>
          <w:rtl w:val="true"/>
        </w:rPr>
        <w:t>לפיהן הנאשם החביא את הנשק ואחרי כמה שעות הודה בביצוע העבירה</w:t>
      </w:r>
      <w:r>
        <w:rPr>
          <w:rtl w:val="true"/>
        </w:rPr>
        <w:t xml:space="preserve">. </w:t>
      </w:r>
      <w:r>
        <w:rPr>
          <w:rtl w:val="true"/>
        </w:rPr>
        <w:t>בעניין נסיבותיו האישיות והמשפחתיות של הנאשם</w:t>
      </w:r>
      <w:r>
        <w:rPr>
          <w:rtl w:val="true"/>
        </w:rPr>
        <w:t xml:space="preserve">, </w:t>
      </w:r>
      <w:r>
        <w:rPr>
          <w:rtl w:val="true"/>
        </w:rPr>
        <w:t>מפנה ב</w:t>
      </w:r>
      <w:r>
        <w:rPr>
          <w:rtl w:val="true"/>
        </w:rPr>
        <w:t>"</w:t>
      </w:r>
      <w:r>
        <w:rPr>
          <w:rtl w:val="true"/>
        </w:rPr>
        <w:t>כ הנאשם לאמור בתסקיר שירות המבחן ומבקש להתחשב בנסיבותיו הקשות של הנאשם</w:t>
      </w:r>
      <w:r>
        <w:rPr>
          <w:rtl w:val="true"/>
        </w:rPr>
        <w:t xml:space="preserve">, </w:t>
      </w:r>
      <w:r>
        <w:rPr>
          <w:rtl w:val="true"/>
        </w:rPr>
        <w:t>אשר עבר חוויות טראומתיות</w:t>
      </w:r>
      <w:r>
        <w:rPr>
          <w:rtl w:val="true"/>
        </w:rPr>
        <w:t xml:space="preserve">, </w:t>
      </w:r>
      <w:r>
        <w:rPr>
          <w:rtl w:val="true"/>
        </w:rPr>
        <w:t>בגילו הצעיר</w:t>
      </w:r>
      <w:r>
        <w:rPr>
          <w:rtl w:val="true"/>
        </w:rPr>
        <w:t xml:space="preserve">, </w:t>
      </w:r>
      <w:r>
        <w:rPr>
          <w:rtl w:val="true"/>
        </w:rPr>
        <w:t>בחרטתו</w:t>
      </w:r>
      <w:r>
        <w:rPr>
          <w:rtl w:val="true"/>
        </w:rPr>
        <w:t xml:space="preserve">, </w:t>
      </w:r>
      <w:r>
        <w:rPr>
          <w:rtl w:val="true"/>
        </w:rPr>
        <w:t>בהעדר עבר פלילי מכביד ובהמלצת שירות המבחן</w:t>
      </w:r>
      <w:r>
        <w:rPr>
          <w:rtl w:val="true"/>
        </w:rPr>
        <w:t xml:space="preserve">, </w:t>
      </w:r>
      <w:r>
        <w:rPr>
          <w:rtl w:val="true"/>
        </w:rPr>
        <w:t>שלא המליץ להשית על הנאשם ענישה במאסר ממושך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השוטר שעלה לאותו בית והפקיר את הניידת כשבתוכה הנשק</w:t>
      </w:r>
      <w:r>
        <w:rPr>
          <w:rtl w:val="true"/>
        </w:rPr>
        <w:t xml:space="preserve">, </w:t>
      </w:r>
      <w:r>
        <w:rPr>
          <w:rtl w:val="true"/>
        </w:rPr>
        <w:t>תרם בהתנהגותו הרשלנית לביצוע העבירות ולא נחקר ולא הועמד 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הגיש פסיקה של בית משפט שלום ופסק דין של בית המשפט המחוזי בירושלים ב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5126/07</w:t>
        </w:r>
      </w:hyperlink>
      <w:r>
        <w:rPr>
          <w:rtl w:val="true"/>
        </w:rPr>
        <w:t xml:space="preserve"> </w:t>
      </w:r>
      <w:r>
        <w:rPr>
          <w:rtl w:val="true"/>
        </w:rPr>
        <w:t>בעניין גניבת נשק מבית חולים ע</w:t>
      </w:r>
      <w:r>
        <w:rPr>
          <w:rtl w:val="true"/>
        </w:rPr>
        <w:t>"</w:t>
      </w:r>
      <w:r>
        <w:rPr>
          <w:rtl w:val="true"/>
        </w:rPr>
        <w:t>י נאשם בעל רישום פלילי מכביד</w:t>
      </w:r>
      <w:r>
        <w:rPr>
          <w:rtl w:val="true"/>
        </w:rPr>
        <w:t xml:space="preserve">, </w:t>
      </w:r>
      <w:r>
        <w:rPr>
          <w:rtl w:val="true"/>
        </w:rPr>
        <w:t>שנדון לשנת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 הביע חרטה על מעשיו וציין</w:t>
      </w:r>
      <w:r>
        <w:rPr>
          <w:rtl w:val="true"/>
        </w:rPr>
        <w:t xml:space="preserve">, </w:t>
      </w:r>
      <w:r>
        <w:rPr>
          <w:rtl w:val="true"/>
        </w:rPr>
        <w:t>כי הוא יודע שביצע עבירה חמורה</w:t>
      </w:r>
      <w:r>
        <w:rPr>
          <w:rtl w:val="true"/>
        </w:rPr>
        <w:t xml:space="preserve">, </w:t>
      </w:r>
      <w:r>
        <w:rPr>
          <w:rtl w:val="true"/>
        </w:rPr>
        <w:t>שכן הוא איבד את שיקול דעתו באותו 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ind w:hanging="720" w:start="72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 הורשע על סמך הודאתו בכך</w:t>
      </w:r>
      <w:r>
        <w:rPr>
          <w:rtl w:val="true"/>
        </w:rPr>
        <w:t xml:space="preserve">, </w:t>
      </w:r>
      <w:r>
        <w:rPr>
          <w:rtl w:val="true"/>
        </w:rPr>
        <w:t>שבשעת לילה מאוחרת</w:t>
      </w:r>
      <w:r>
        <w:rPr>
          <w:rtl w:val="true"/>
        </w:rPr>
        <w:t xml:space="preserve">, </w:t>
      </w:r>
      <w:r>
        <w:rPr>
          <w:rtl w:val="true"/>
        </w:rPr>
        <w:t xml:space="preserve">גנב מניידת משטרתית רובה אם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קצר והסתירו בקרבת מקום</w:t>
      </w:r>
      <w:r>
        <w:rPr>
          <w:rtl w:val="true"/>
        </w:rPr>
        <w:t xml:space="preserve">; </w:t>
      </w:r>
      <w:r>
        <w:rPr>
          <w:rtl w:val="true"/>
        </w:rPr>
        <w:t>כן הורשע הנאשם בכך</w:t>
      </w:r>
      <w:r>
        <w:rPr>
          <w:rtl w:val="true"/>
        </w:rPr>
        <w:t xml:space="preserve">, </w:t>
      </w:r>
      <w:r>
        <w:rPr>
          <w:rtl w:val="true"/>
        </w:rPr>
        <w:t>שבהזדמנות קודמת איים על פקחית</w:t>
      </w:r>
      <w:r>
        <w:rPr>
          <w:rtl w:val="true"/>
        </w:rPr>
        <w:t>/</w:t>
      </w:r>
      <w:r>
        <w:rPr>
          <w:rtl w:val="true"/>
        </w:rPr>
        <w:t>עובדת ציבור שרשמה לו דו</w:t>
      </w:r>
      <w:r>
        <w:rPr>
          <w:rtl w:val="true"/>
        </w:rPr>
        <w:t>"</w:t>
      </w:r>
      <w:r>
        <w:rPr>
          <w:rtl w:val="true"/>
        </w:rPr>
        <w:t>ח בגין חניה במקום אסור</w:t>
      </w:r>
      <w:r>
        <w:rPr>
          <w:rtl w:val="true"/>
        </w:rPr>
        <w:t xml:space="preserve">. </w:t>
      </w:r>
      <w:r>
        <w:rPr>
          <w:rtl w:val="true"/>
        </w:rPr>
        <w:t>אין חולק</w:t>
      </w:r>
      <w:r>
        <w:rPr>
          <w:rtl w:val="true"/>
        </w:rPr>
        <w:t xml:space="preserve">, </w:t>
      </w:r>
      <w:r>
        <w:rPr>
          <w:rtl w:val="true"/>
        </w:rPr>
        <w:t>כי הנאשם חטא בעבירת נשק חמורה</w:t>
      </w:r>
      <w:r>
        <w:rPr>
          <w:rtl w:val="true"/>
        </w:rPr>
        <w:t xml:space="preserve">, </w:t>
      </w:r>
      <w:r>
        <w:rPr>
          <w:rtl w:val="true"/>
        </w:rPr>
        <w:t>המצדיקה עונש חמור שיהיה בו כדי לשקף את הנסיבות החמורות של המעשה ורמה גבוהה של הרתעה</w:t>
      </w:r>
      <w:r>
        <w:rPr>
          <w:rtl w:val="true"/>
        </w:rPr>
        <w:t xml:space="preserve">. </w:t>
      </w:r>
      <w:r>
        <w:rPr>
          <w:rtl w:val="true"/>
        </w:rPr>
        <w:t>הדברים נכונים במיוחד בהתחשב בכך</w:t>
      </w:r>
      <w:r>
        <w:rPr>
          <w:rtl w:val="true"/>
        </w:rPr>
        <w:t xml:space="preserve">, </w:t>
      </w:r>
      <w:r>
        <w:rPr>
          <w:rtl w:val="true"/>
        </w:rPr>
        <w:t>שמדובר ברכב משטרתי ובנשק מסוכן</w:t>
      </w:r>
      <w:r>
        <w:rPr>
          <w:rtl w:val="true"/>
        </w:rPr>
        <w:t xml:space="preserve">, </w:t>
      </w:r>
      <w:r>
        <w:rPr>
          <w:rtl w:val="true"/>
        </w:rPr>
        <w:t>העלול לגרום להרג רב וטמונה בו סכנה לבטחון הציבור</w:t>
      </w:r>
      <w:r>
        <w:rPr>
          <w:rtl w:val="true"/>
        </w:rPr>
        <w:t xml:space="preserve">, </w:t>
      </w:r>
      <w:r>
        <w:rPr>
          <w:rtl w:val="true"/>
        </w:rPr>
        <w:t>במיוחד בתקופה זו</w:t>
      </w:r>
      <w:r>
        <w:rPr>
          <w:rtl w:val="true"/>
        </w:rPr>
        <w:t xml:space="preserve">, </w:t>
      </w:r>
      <w:r>
        <w:rPr>
          <w:rtl w:val="true"/>
        </w:rPr>
        <w:t>בה נעשה שימוש גובר והולך בכלי נשק המוחזקים שלא כחוק</w:t>
      </w:r>
      <w:r>
        <w:rPr>
          <w:rtl w:val="true"/>
        </w:rPr>
        <w:t xml:space="preserve">; </w:t>
      </w:r>
      <w:r>
        <w:rPr>
          <w:rtl w:val="true"/>
        </w:rPr>
        <w:t>לא ניתן לצפות מראש לאן יגיע הנשק וכלפי מי יכוון</w:t>
      </w:r>
      <w:r>
        <w:rPr>
          <w:rtl w:val="true"/>
        </w:rPr>
        <w:t xml:space="preserve">. </w:t>
      </w:r>
      <w:r>
        <w:rPr>
          <w:rtl w:val="true"/>
        </w:rPr>
        <w:t>בית המשפט העליון פסק וחזר ופסק</w:t>
      </w:r>
      <w:r>
        <w:rPr>
          <w:rtl w:val="true"/>
        </w:rPr>
        <w:t xml:space="preserve">, </w:t>
      </w:r>
      <w:r>
        <w:rPr>
          <w:rtl w:val="true"/>
        </w:rPr>
        <w:t xml:space="preserve">כי בתי המשפט מצווים להחמיר בעניינם של נאשמים החוטאים בתחום 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ראיד עבד אל קאדר</w:t>
      </w:r>
      <w:r>
        <w:rPr>
          <w:rtl w:val="true"/>
        </w:rPr>
        <w:t xml:space="preserve"> נ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3289/03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אבשלום קוממי</w:t>
      </w:r>
      <w:r>
        <w:rPr>
          <w:rtl w:val="true"/>
        </w:rPr>
        <w:t xml:space="preserve"> נ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חומרה נוספת יש לראות בעברו הפלילי של הנאשם</w:t>
      </w:r>
      <w:r>
        <w:rPr>
          <w:rtl w:val="true"/>
        </w:rPr>
        <w:t xml:space="preserve">, </w:t>
      </w:r>
      <w:r>
        <w:rPr>
          <w:rtl w:val="true"/>
        </w:rPr>
        <w:t>אשר לחובתו הרשעות קודמות מאותו סוג</w:t>
      </w:r>
      <w:r>
        <w:rPr>
          <w:rtl w:val="true"/>
        </w:rPr>
        <w:t xml:space="preserve">. </w:t>
      </w:r>
      <w:r>
        <w:rPr>
          <w:rtl w:val="true"/>
        </w:rPr>
        <w:t xml:space="preserve">עיון בגליון הרשעותיו הקודמות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 לנאשם זה ניתנו מספר הזדמנויות בעבר</w:t>
      </w:r>
      <w:r>
        <w:rPr>
          <w:rtl w:val="true"/>
        </w:rPr>
        <w:t xml:space="preserve">, </w:t>
      </w:r>
      <w:r>
        <w:rPr>
          <w:rtl w:val="true"/>
        </w:rPr>
        <w:t>אך העונשים שהוטלו עליו לא היה בהם די כדי להרתיעו</w:t>
      </w:r>
      <w:r>
        <w:rPr>
          <w:rtl w:val="true"/>
        </w:rPr>
        <w:t xml:space="preserve">, </w:t>
      </w:r>
      <w:r>
        <w:rPr>
          <w:rtl w:val="true"/>
        </w:rPr>
        <w:t>ואף חלה הסלמה בהתנהגותו העבריינית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 הרשעתו הראשונה בעבירת אלימות</w:t>
      </w:r>
      <w:r>
        <w:rPr>
          <w:rtl w:val="true"/>
        </w:rPr>
        <w:t xml:space="preserve">, </w:t>
      </w:r>
      <w:r>
        <w:rPr>
          <w:rtl w:val="true"/>
        </w:rPr>
        <w:t>נדון הנאשם למאסר מותנה</w:t>
      </w:r>
      <w:r>
        <w:rPr>
          <w:rtl w:val="true"/>
        </w:rPr>
        <w:t xml:space="preserve">, </w:t>
      </w:r>
      <w:r>
        <w:rPr>
          <w:rtl w:val="true"/>
        </w:rPr>
        <w:t>כך גם בגין הרשעתו השניה בעבירת גניבה</w:t>
      </w:r>
      <w:r>
        <w:rPr>
          <w:rtl w:val="true"/>
        </w:rPr>
        <w:t xml:space="preserve">; </w:t>
      </w:r>
      <w:r>
        <w:rPr>
          <w:rtl w:val="true"/>
        </w:rPr>
        <w:t>בהרשעתו השלישית בגין עבירות פריצה לרכב</w:t>
      </w:r>
      <w:r>
        <w:rPr>
          <w:rtl w:val="true"/>
        </w:rPr>
        <w:t xml:space="preserve">, </w:t>
      </w:r>
      <w:r>
        <w:rPr>
          <w:rtl w:val="true"/>
        </w:rPr>
        <w:t>פריצה לבנין</w:t>
      </w:r>
      <w:r>
        <w:rPr>
          <w:rtl w:val="true"/>
        </w:rPr>
        <w:t xml:space="preserve">, </w:t>
      </w:r>
      <w:r>
        <w:rPr>
          <w:rtl w:val="true"/>
        </w:rPr>
        <w:t>היזק לרכוש במזיד</w:t>
      </w:r>
      <w:r>
        <w:rPr>
          <w:rtl w:val="true"/>
        </w:rPr>
        <w:t xml:space="preserve">, </w:t>
      </w:r>
      <w:r>
        <w:rPr>
          <w:rtl w:val="true"/>
        </w:rPr>
        <w:t>הפרעה לשוטר והפרת הוראה חוקית</w:t>
      </w:r>
      <w:r>
        <w:rPr>
          <w:rtl w:val="true"/>
        </w:rPr>
        <w:t xml:space="preserve">, </w:t>
      </w:r>
      <w:r>
        <w:rPr>
          <w:rtl w:val="true"/>
        </w:rPr>
        <w:t xml:space="preserve">צויין מאסר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בנוסף למאסרים מותנים</w:t>
      </w:r>
      <w:r>
        <w:rPr>
          <w:rtl w:val="true"/>
        </w:rPr>
        <w:t xml:space="preserve">; </w:t>
      </w:r>
      <w:r>
        <w:rPr>
          <w:rtl w:val="true"/>
        </w:rPr>
        <w:t>רק בגין הרשעתו האחרונה בעבירות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>הדחה בחקירה וגניבה</w:t>
      </w:r>
      <w:r>
        <w:rPr>
          <w:rtl w:val="true"/>
        </w:rPr>
        <w:t xml:space="preserve">, </w:t>
      </w:r>
      <w:r>
        <w:rPr>
          <w:rtl w:val="true"/>
        </w:rPr>
        <w:t>נדון הנאשם למאסר בעבודות שירות למשך חודשיים</w:t>
      </w:r>
      <w:r>
        <w:rPr>
          <w:rtl w:val="true"/>
        </w:rPr>
        <w:t xml:space="preserve">, </w:t>
      </w:r>
      <w:r>
        <w:rPr>
          <w:rtl w:val="true"/>
        </w:rPr>
        <w:t>וכדי להרתיעו לעתיד לבוא</w:t>
      </w:r>
      <w:r>
        <w:rPr>
          <w:rtl w:val="true"/>
        </w:rPr>
        <w:t xml:space="preserve">, </w:t>
      </w:r>
      <w:r>
        <w:rPr>
          <w:rtl w:val="true"/>
        </w:rPr>
        <w:t xml:space="preserve">הוסיף בית המשפט וגזר עליו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מע</w:t>
      </w:r>
      <w:r>
        <w:rPr>
          <w:rtl w:val="true"/>
        </w:rPr>
        <w:t>"</w:t>
      </w:r>
      <w:r>
        <w:rPr>
          <w:rtl w:val="true"/>
        </w:rPr>
        <w:t>ת 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כפי שעינינו רואות</w:t>
      </w:r>
      <w:r>
        <w:rPr>
          <w:rtl w:val="true"/>
        </w:rPr>
        <w:t xml:space="preserve">, </w:t>
      </w:r>
      <w:r>
        <w:rPr>
          <w:rtl w:val="true"/>
        </w:rPr>
        <w:t>אותו עונש מאסר מותנה</w:t>
      </w:r>
      <w:r>
        <w:rPr>
          <w:rtl w:val="true"/>
        </w:rPr>
        <w:t xml:space="preserve">, </w:t>
      </w:r>
      <w:r>
        <w:rPr>
          <w:rtl w:val="true"/>
        </w:rPr>
        <w:t>כמו גם העונשים שהוטלו עליו בעבר</w:t>
      </w:r>
      <w:r>
        <w:rPr>
          <w:rtl w:val="true"/>
        </w:rPr>
        <w:t xml:space="preserve">, </w:t>
      </w:r>
      <w:r>
        <w:rPr>
          <w:rtl w:val="true"/>
        </w:rPr>
        <w:t>לא גרמו לנאשם לשנות את אורחותיו</w:t>
      </w:r>
      <w:r>
        <w:rPr>
          <w:rtl w:val="true"/>
        </w:rPr>
        <w:t xml:space="preserve">, </w:t>
      </w:r>
      <w:r>
        <w:rPr>
          <w:rtl w:val="true"/>
        </w:rPr>
        <w:t>ואין לך ראיה טובה יותר לכך</w:t>
      </w:r>
      <w:r>
        <w:rPr>
          <w:rtl w:val="true"/>
        </w:rPr>
        <w:t xml:space="preserve">, </w:t>
      </w:r>
      <w:r>
        <w:rPr>
          <w:rtl w:val="true"/>
        </w:rPr>
        <w:t>מאשר העבירות עליהן הוא נקרא לתת את הדין הפעם</w:t>
      </w:r>
      <w:r>
        <w:rPr>
          <w:rtl w:val="true"/>
        </w:rPr>
        <w:t xml:space="preserve">. </w:t>
      </w:r>
      <w:r>
        <w:rPr>
          <w:rtl w:val="true"/>
        </w:rPr>
        <w:t>כפי שצויין בתסקיר</w:t>
      </w:r>
      <w:r>
        <w:rPr>
          <w:rtl w:val="true"/>
        </w:rPr>
        <w:t xml:space="preserve">, </w:t>
      </w:r>
      <w:r>
        <w:rPr>
          <w:rtl w:val="true"/>
        </w:rPr>
        <w:t>הנאשם דנן סיגל לעצמו נורמות ודפוסי חשיבה המנוגדים לנורמות המקובלות</w:t>
      </w:r>
      <w:r>
        <w:rPr>
          <w:rtl w:val="true"/>
        </w:rPr>
        <w:t xml:space="preserve">, </w:t>
      </w:r>
      <w:r>
        <w:rPr>
          <w:rtl w:val="true"/>
        </w:rPr>
        <w:t>ושירות המבחן סבר</w:t>
      </w:r>
      <w:r>
        <w:rPr>
          <w:rtl w:val="true"/>
        </w:rPr>
        <w:t xml:space="preserve">, </w:t>
      </w:r>
      <w:r>
        <w:rPr>
          <w:rtl w:val="true"/>
        </w:rPr>
        <w:t>כי קיים סיכוי גבוה להישנות התנהגות עבריינית בעתיד מצידו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אין להתעלם משיקולים לקולא העומדים לזכות הנאשם</w:t>
      </w:r>
      <w:r>
        <w:rPr>
          <w:rtl w:val="true"/>
        </w:rPr>
        <w:t xml:space="preserve">, </w:t>
      </w:r>
      <w:r>
        <w:rPr>
          <w:rtl w:val="true"/>
        </w:rPr>
        <w:t>אשר הודה במיוחס לו בהזדמנות הראשונה</w:t>
      </w:r>
      <w:r>
        <w:rPr>
          <w:rtl w:val="true"/>
        </w:rPr>
        <w:t xml:space="preserve">, </w:t>
      </w:r>
      <w:r>
        <w:rPr>
          <w:rtl w:val="true"/>
        </w:rPr>
        <w:t>נטל אחריות על מעשיו והביע חרטה ומודעות לכישלונו ההתנהגותי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 להתחשב בנסיבות האישיות החריגות של נאשם זה</w:t>
      </w:r>
      <w:r>
        <w:rPr>
          <w:rtl w:val="true"/>
        </w:rPr>
        <w:t xml:space="preserve">, </w:t>
      </w:r>
      <w:r>
        <w:rPr>
          <w:rtl w:val="true"/>
        </w:rPr>
        <w:t>אשר נלמדות מתסקיר שירות המבחן</w:t>
      </w:r>
      <w:r>
        <w:rPr>
          <w:rtl w:val="true"/>
        </w:rPr>
        <w:t xml:space="preserve">; </w:t>
      </w:r>
      <w:r>
        <w:rPr>
          <w:rtl w:val="true"/>
        </w:rPr>
        <w:t>הנאשם גדל באווירה משפחתית קשה ומורכבת</w:t>
      </w:r>
      <w:r>
        <w:rPr>
          <w:rtl w:val="true"/>
        </w:rPr>
        <w:t xml:space="preserve">, </w:t>
      </w:r>
      <w:r>
        <w:rPr>
          <w:rtl w:val="true"/>
        </w:rPr>
        <w:t>עבר תקופת התבגרות בעייתית וקשה</w:t>
      </w:r>
      <w:r>
        <w:rPr>
          <w:rtl w:val="true"/>
        </w:rPr>
        <w:t xml:space="preserve">, </w:t>
      </w:r>
      <w:r>
        <w:rPr>
          <w:rtl w:val="true"/>
        </w:rPr>
        <w:t>ומגיל צעיר הדרדר לסמים ואלכוהול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באשר לטענת הנאשם</w:t>
      </w:r>
      <w:r>
        <w:rPr>
          <w:rtl w:val="true"/>
        </w:rPr>
        <w:t xml:space="preserve">, </w:t>
      </w:r>
      <w:r>
        <w:rPr>
          <w:rtl w:val="true"/>
        </w:rPr>
        <w:t>כי היה תחת השפעת אלכוהול בעת גניבת הנשק</w:t>
      </w:r>
      <w:r>
        <w:rPr>
          <w:rtl w:val="true"/>
        </w:rPr>
        <w:t xml:space="preserve">, </w:t>
      </w:r>
      <w:r>
        <w:rPr>
          <w:rtl w:val="true"/>
        </w:rPr>
        <w:t xml:space="preserve">הרי לפי ההלכה הפסוקה טענה זו אינה מהווה נסיבה לקולא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2235/08</w:t>
        </w:r>
      </w:hyperlink>
      <w:r>
        <w:rPr>
          <w:rtl w:val="true"/>
        </w:rPr>
        <w:t xml:space="preserve">, </w:t>
      </w:r>
      <w:hyperlink r:id="rId18">
        <w:r>
          <w:rPr>
            <w:rStyle w:val="Hyperlink"/>
            <w:color w:val="0000FF"/>
            <w:u w:val="single"/>
          </w:rPr>
          <w:t>2766/08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 המכלול ולאחר ששקלתי את טיעוני הצדדים לקולא ולחומרה</w:t>
      </w:r>
      <w:r>
        <w:rPr>
          <w:rtl w:val="true"/>
        </w:rPr>
        <w:t xml:space="preserve">, </w:t>
      </w:r>
      <w:r>
        <w:rPr>
          <w:rtl w:val="true"/>
        </w:rPr>
        <w:t>הנני לגזור על הנאשם את העונשים 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החל מיום מעצרו של הנאשם </w:t>
      </w:r>
      <w:r>
        <w:rPr>
          <w:rtl w:val="true"/>
        </w:rPr>
        <w:t>(</w:t>
      </w:r>
      <w:r>
        <w:rPr/>
        <w:t>23.4.10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אני מורה על הפעלת המאסר המותנה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התלוי ועומד נגד הנאשם ב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4439-09-07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בית משפט השלום בטבריה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באופן מצטבר</w:t>
      </w:r>
      <w:r>
        <w:rPr>
          <w:rtl w:val="true"/>
        </w:rPr>
        <w:t xml:space="preserve">, </w:t>
      </w:r>
      <w:r>
        <w:rPr>
          <w:rtl w:val="true"/>
        </w:rPr>
        <w:t xml:space="preserve">כך שסך כל תקופת המאסר בפועל תעמוד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>
          <w:rtl w:val="true"/>
        </w:rPr>
        <w:t xml:space="preserve">החל מיום </w:t>
      </w:r>
      <w:r>
        <w:rPr/>
        <w:t>23.4.10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והתנאי שלא יעבור עבירות בנשק לפי </w:t>
      </w:r>
      <w:hyperlink r:id="rId2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או עבירת גניבה מרכב לפי 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והתנאי הוא שלא יעבור עבירת איומים לפי </w:t>
      </w:r>
      <w:hyperlink r:id="rId2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נוכח נכונות הנאשם להשתלב בהליך גמילה מאלכוהול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 ממליץ בפני גורמי הכליאה לסייע בידו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16/09/2010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שאהר אטרש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שאהר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אטרש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/Users/liorb/Downloads/study2025-p2/ME-10-04-37761-340.doc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37761-04-10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ספדיה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413d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13d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6769376" TargetMode="External"/><Relationship Id="rId13" Type="http://schemas.openxmlformats.org/officeDocument/2006/relationships/hyperlink" Target="http://www.nevo.co.il/case/6769376" TargetMode="External"/><Relationship Id="rId14" Type="http://schemas.openxmlformats.org/officeDocument/2006/relationships/hyperlink" Target="http://www.nevo.co.il/case/1624610" TargetMode="External"/><Relationship Id="rId15" Type="http://schemas.openxmlformats.org/officeDocument/2006/relationships/hyperlink" Target="http://www.nevo.co.il/case/5859902" TargetMode="External"/><Relationship Id="rId16" Type="http://schemas.openxmlformats.org/officeDocument/2006/relationships/hyperlink" Target="http://www.nevo.co.il/case/5887284" TargetMode="External"/><Relationship Id="rId17" Type="http://schemas.openxmlformats.org/officeDocument/2006/relationships/hyperlink" Target="http://www.nevo.co.il/case/6244116" TargetMode="External"/><Relationship Id="rId18" Type="http://schemas.openxmlformats.org/officeDocument/2006/relationships/hyperlink" Target="http://www.nevo.co.il/case/6244116" TargetMode="External"/><Relationship Id="rId19" Type="http://schemas.openxmlformats.org/officeDocument/2006/relationships/hyperlink" Target="http://www.nevo.co.il/case/6769376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13d" TargetMode="External"/><Relationship Id="rId23" Type="http://schemas.openxmlformats.org/officeDocument/2006/relationships/hyperlink" Target="http://www.nevo.co.il/law/70301/19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2016-07-17T08:27:00Z</dcterms:created>
  <dc:creator> </dc:creator>
  <dc:description/>
  <cp:keywords/>
  <dc:language>en-IL</dc:language>
  <cp:lastModifiedBy>hofit</cp:lastModifiedBy>
  <dcterms:modified xsi:type="dcterms:W3CDTF">2016-07-17T08:27:00Z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ספדיה</vt:lpwstr>
  </property>
  <property fmtid="{D5CDD505-2E9C-101B-9397-08002B2CF9AE}" pid="4" name="CASESLISTTMP1">
    <vt:lpwstr>6769376:3;1624610;5859902;5887284;6244116:2</vt:lpwstr>
  </property>
  <property fmtid="{D5CDD505-2E9C-101B-9397-08002B2CF9AE}" pid="5" name="CITY">
    <vt:lpwstr>נצ'</vt:lpwstr>
  </property>
  <property fmtid="{D5CDD505-2E9C-101B-9397-08002B2CF9AE}" pid="6" name="DATE">
    <vt:lpwstr>20100916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שאהר אטרש</vt:lpwstr>
  </property>
  <property fmtid="{D5CDD505-2E9C-101B-9397-08002B2CF9AE}" pid="10" name="LAWLISTTMP1">
    <vt:lpwstr>70301/144.b;413d:2;192:2;144</vt:lpwstr>
  </property>
  <property fmtid="{D5CDD505-2E9C-101B-9397-08002B2CF9AE}" pid="11" name="LAWYER">
    <vt:lpwstr>מורן מרגלית;סרי חורי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37761</vt:lpwstr>
  </property>
  <property fmtid="{D5CDD505-2E9C-101B-9397-08002B2CF9AE}" pid="25" name="NEWPARTB">
    <vt:lpwstr>04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04 37761 340 htm</vt:lpwstr>
  </property>
  <property fmtid="{D5CDD505-2E9C-101B-9397-08002B2CF9AE}" pid="36" name="TYPE">
    <vt:lpwstr>2</vt:lpwstr>
  </property>
  <property fmtid="{D5CDD505-2E9C-101B-9397-08002B2CF9AE}" pid="37" name="TYPE_ABS_DATE">
    <vt:lpwstr>390020100916</vt:lpwstr>
  </property>
  <property fmtid="{D5CDD505-2E9C-101B-9397-08002B2CF9AE}" pid="38" name="TYPE_N_DATE">
    <vt:lpwstr>39020100916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