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37871-05-19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מוך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2022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20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97"/>
        <w:gridCol w:w="6712"/>
      </w:tblGrid>
      <w:tr>
        <w:trPr>
          <w:trHeight w:val="337" w:hRule="atLeast"/>
        </w:trPr>
        <w:tc>
          <w:tcPr>
            <w:tcW w:w="1497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</w:t>
            </w:r>
          </w:p>
        </w:tc>
        <w:tc>
          <w:tcPr>
            <w:tcW w:w="6712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eastAsia="David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37898-05-19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p>
      <w:pPr>
        <w:pStyle w:val="Normal"/>
        <w:spacing w:lineRule="auto" w:line="360"/>
        <w:ind w:end="0"/>
        <w:jc w:val="both"/>
        <w:rPr>
          <w:vanish/>
          <w:sz w:val="6"/>
          <w:szCs w:val="6"/>
        </w:rPr>
      </w:pPr>
      <w:r>
        <w:rPr>
          <w:vanish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חנא סבאג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חסן אבו מוך 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ז 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 אבו סעדיה 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ז 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highlight w:val="yellow"/>
                <w:rtl w:val="true"/>
              </w:rPr>
              <w:t>נדון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אחמד אבו מוך 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ז 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highlight w:val="yellow"/>
                <w:rtl w:val="true"/>
              </w:rPr>
              <w:t>נדון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נור אלסאלם דקה 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ז 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highlight w:val="yellow"/>
                <w:rtl w:val="true"/>
              </w:rPr>
              <w:t>נדון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start="26"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bookmarkStart w:id="3" w:name="FirstLawyer"/>
      <w:r>
        <w:rPr>
          <w:rtl w:val="true"/>
        </w:rPr>
        <w:t>מטעם</w:t>
      </w:r>
      <w:bookmarkEnd w:id="3"/>
      <w:r>
        <w:rPr>
          <w:rtl w:val="true"/>
        </w:rPr>
        <w:t xml:space="preserve"> 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הדס קליין</w:t>
      </w:r>
    </w:p>
    <w:p>
      <w:pPr>
        <w:pStyle w:val="12"/>
        <w:spacing w:lineRule="auto" w:line="360"/>
        <w:ind w:end="0"/>
        <w:jc w:val="start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הנאשם מ</w:t>
      </w:r>
      <w:bookmarkStart w:id="4" w:name="Seif2"/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ס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' </w:t>
      </w:r>
      <w:bookmarkEnd w:id="4"/>
      <w:r>
        <w:rPr>
          <w:rFonts w:cs="David" w:ascii="David" w:hAnsi="David"/>
          <w:b w:val="false"/>
          <w:bCs w:val="false"/>
          <w:u w:val="none"/>
        </w:rPr>
        <w:t>1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: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בעצמו ועל ידי מתמחה מר נסאר  פאדי ממשרד עו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ד  שלומי בלומנפלד</w:t>
      </w:r>
    </w:p>
    <w:p>
      <w:pPr>
        <w:pStyle w:val="12"/>
        <w:spacing w:lineRule="auto" w:line="360"/>
        <w:ind w:end="0"/>
        <w:jc w:val="start"/>
        <w:rPr/>
      </w:pPr>
      <w:r>
        <w:rPr>
          <w:rFonts w:cs="David" w:ascii="David" w:hAnsi="David"/>
          <w:b w:val="false"/>
          <w:bCs w:val="false"/>
          <w:u w:val="none"/>
          <w:rtl w:val="true"/>
        </w:rPr>
        <w:t xml:space="preserve"> </w:t>
      </w:r>
      <w:r>
        <w:rPr>
          <w:rFonts w:eastAsia="Times New Roman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בעניינו של הנאשם מ</w:t>
      </w:r>
      <w:bookmarkStart w:id="11" w:name="Seif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ס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' </w:t>
      </w:r>
      <w:bookmarkEnd w:id="11"/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bookmarkStart w:id="12" w:name="ABSTRACT_START"/>
      <w:bookmarkEnd w:id="12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חסן אבו מוך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הנאשם</w:t>
      </w:r>
      <w:r>
        <w:rPr>
          <w:rtl w:val="true"/>
        </w:rPr>
        <w:t xml:space="preserve">"), </w:t>
      </w:r>
      <w:r>
        <w:rPr>
          <w:rtl w:val="true"/>
        </w:rPr>
        <w:t xml:space="preserve">הודה בכתב האישום </w:t>
      </w:r>
      <w:r>
        <w:rPr>
          <w:rtl w:val="true"/>
        </w:rPr>
        <w:t>(</w:t>
      </w:r>
      <w:r>
        <w:rPr>
          <w:rtl w:val="true"/>
        </w:rPr>
        <w:t xml:space="preserve">שתוקן בישיבת יום </w:t>
      </w:r>
      <w:r>
        <w:rPr/>
        <w:t>11.12.2019</w:t>
      </w:r>
      <w:r>
        <w:rPr>
          <w:rtl w:val="true"/>
        </w:rPr>
        <w:t xml:space="preserve">) </w:t>
      </w:r>
      <w:r>
        <w:rPr>
          <w:rtl w:val="true"/>
        </w:rPr>
        <w:t xml:space="preserve">והורשע בעבירות בנשק </w:t>
      </w:r>
      <w:r>
        <w:rPr>
          <w:rtl w:val="true"/>
        </w:rPr>
        <w:t>(</w:t>
      </w:r>
      <w:r>
        <w:rPr>
          <w:rtl w:val="true"/>
        </w:rPr>
        <w:t>ייבוא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</w:t>
      </w:r>
      <w:hyperlink r:id="rId7">
        <w:bookmarkStart w:id="13" w:name="Seif36"/>
        <w:r>
          <w:rPr>
            <w:rStyle w:val="Hyperlink"/>
            <w:rFonts w:ascii="David" w:hAnsi="David"/>
            <w:rtl w:val="true"/>
          </w:rPr>
          <w:t xml:space="preserve">סעיף </w:t>
        </w:r>
        <w:bookmarkEnd w:id="13"/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במסגרת הסדר הטיעון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התבקש אודות הנאשם תסקיר והוסכם כי לאחר קבלת התסקיר יטענו הצדדים באופן חופשי 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כתב האישום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כתב האישום הוגש במקור נגד הנאשם ושלושה אחרים</w:t>
      </w:r>
      <w:r>
        <w:rPr>
          <w:rtl w:val="true"/>
        </w:rPr>
        <w:t xml:space="preserve">, </w:t>
      </w:r>
      <w:r>
        <w:rPr>
          <w:rtl w:val="true"/>
        </w:rPr>
        <w:t xml:space="preserve">מחמוד אבו סעדיה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נאשם מ</w:t>
      </w:r>
      <w:bookmarkStart w:id="16" w:name="Seif4"/>
      <w:r>
        <w:rPr>
          <w:rFonts w:ascii="Miriam" w:hAnsi="Miriam" w:cs="Miriam"/>
          <w:rtl w:val="true"/>
        </w:rPr>
        <w:t>ס</w:t>
      </w:r>
      <w:r>
        <w:rPr>
          <w:rFonts w:cs="Miriam" w:ascii="Miriam" w:hAnsi="Miriam"/>
          <w:rtl w:val="true"/>
        </w:rPr>
        <w:t xml:space="preserve">' </w:t>
      </w:r>
      <w:bookmarkEnd w:id="16"/>
      <w:r>
        <w:rPr>
          <w:rFonts w:cs="Miriam" w:ascii="Miriam" w:hAnsi="Miriam"/>
        </w:rPr>
        <w:t>2</w:t>
      </w:r>
      <w:r>
        <w:rPr>
          <w:rtl w:val="true"/>
        </w:rPr>
        <w:t xml:space="preserve">"), </w:t>
      </w:r>
      <w:r>
        <w:rPr>
          <w:rtl w:val="true"/>
        </w:rPr>
        <w:t xml:space="preserve">אחמד אבו מוך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נאשם מ</w:t>
      </w:r>
      <w:bookmarkStart w:id="17" w:name="Seif5"/>
      <w:r>
        <w:rPr>
          <w:rFonts w:ascii="Miriam" w:hAnsi="Miriam" w:cs="Miriam"/>
          <w:rtl w:val="true"/>
        </w:rPr>
        <w:t>ס</w:t>
      </w:r>
      <w:r>
        <w:rPr>
          <w:rFonts w:cs="Miriam" w:ascii="Miriam" w:hAnsi="Miriam"/>
          <w:rtl w:val="true"/>
        </w:rPr>
        <w:t xml:space="preserve">' </w:t>
      </w:r>
      <w:bookmarkEnd w:id="17"/>
      <w:r>
        <w:rPr>
          <w:rFonts w:cs="Miriam" w:ascii="Miriam" w:hAnsi="Miriam"/>
        </w:rPr>
        <w:t>3</w:t>
      </w:r>
      <w:r>
        <w:rPr>
          <w:rtl w:val="true"/>
        </w:rPr>
        <w:t xml:space="preserve">") </w:t>
      </w:r>
      <w:r>
        <w:rPr>
          <w:rtl w:val="true"/>
        </w:rPr>
        <w:t xml:space="preserve">ונור אלסאלם דקה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נאשם מ</w:t>
      </w:r>
      <w:bookmarkStart w:id="18" w:name="Seif6"/>
      <w:r>
        <w:rPr>
          <w:rFonts w:ascii="Miriam" w:hAnsi="Miriam" w:cs="Miriam"/>
          <w:rtl w:val="true"/>
        </w:rPr>
        <w:t>ס</w:t>
      </w:r>
      <w:r>
        <w:rPr>
          <w:rFonts w:cs="Miriam" w:ascii="Miriam" w:hAnsi="Miriam"/>
          <w:rtl w:val="true"/>
        </w:rPr>
        <w:t xml:space="preserve">' </w:t>
      </w:r>
      <w:bookmarkEnd w:id="18"/>
      <w:r>
        <w:rPr>
          <w:rFonts w:cs="Miriam" w:ascii="Miriam" w:hAnsi="Miriam"/>
        </w:rPr>
        <w:t>4</w:t>
      </w:r>
      <w:r>
        <w:rPr>
          <w:rtl w:val="true"/>
        </w:rPr>
        <w:t>") (</w:t>
      </w:r>
      <w:r>
        <w:rPr>
          <w:rtl w:val="true"/>
        </w:rPr>
        <w:t>להלן יקראו יחדיו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הנאשמים</w:t>
      </w:r>
      <w:r>
        <w:rPr>
          <w:rtl w:val="true"/>
        </w:rPr>
        <w:t xml:space="preserve">").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מעובדות כתב האישום עולה כי עובר ליום </w:t>
      </w:r>
      <w:r>
        <w:rPr/>
        <w:t>18.04.2019</w:t>
      </w:r>
      <w:r>
        <w:rPr>
          <w:rtl w:val="true"/>
        </w:rPr>
        <w:t xml:space="preserve"> </w:t>
      </w:r>
      <w:r>
        <w:rPr>
          <w:rtl w:val="true"/>
        </w:rPr>
        <w:t>בשעות הצהריים</w:t>
      </w:r>
      <w:r>
        <w:rPr>
          <w:rtl w:val="true"/>
        </w:rPr>
        <w:t xml:space="preserve">, </w:t>
      </w:r>
      <w:r>
        <w:rPr>
          <w:rtl w:val="true"/>
        </w:rPr>
        <w:t>קשרו הנאשם ונאשם מ</w:t>
      </w:r>
      <w:bookmarkStart w:id="19" w:name="Seif7"/>
      <w:r>
        <w:rPr>
          <w:rtl w:val="true"/>
        </w:rPr>
        <w:t>ס</w:t>
      </w:r>
      <w:r>
        <w:rPr>
          <w:rtl w:val="true"/>
        </w:rPr>
        <w:t xml:space="preserve">' </w:t>
      </w:r>
      <w:bookmarkEnd w:id="19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קשר לפיו הם ייבאו עשרות כלי נשק  ממדינת ירדן לשטח ישראל</w:t>
      </w:r>
      <w:r>
        <w:rPr>
          <w:rtl w:val="true"/>
        </w:rPr>
        <w:t xml:space="preserve">. </w:t>
      </w:r>
      <w:r>
        <w:rPr>
          <w:rtl w:val="true"/>
        </w:rPr>
        <w:t>לצורך מימוש הקשר</w:t>
      </w:r>
      <w:r>
        <w:rPr>
          <w:rtl w:val="true"/>
        </w:rPr>
        <w:t xml:space="preserve">, </w:t>
      </w:r>
      <w:r>
        <w:rPr>
          <w:rtl w:val="true"/>
        </w:rPr>
        <w:t>עמד הנאשם באותו יום</w:t>
      </w:r>
      <w:r>
        <w:rPr>
          <w:rtl w:val="true"/>
        </w:rPr>
        <w:t xml:space="preserve">, </w:t>
      </w:r>
      <w:r>
        <w:rPr>
          <w:rtl w:val="true"/>
        </w:rPr>
        <w:t>בקשר טלפוני עם מספר גורמים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, </w:t>
      </w:r>
      <w:r>
        <w:rPr>
          <w:rtl w:val="true"/>
        </w:rPr>
        <w:t xml:space="preserve">אדם ירדני 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הירדני</w:t>
      </w:r>
      <w:r>
        <w:rPr>
          <w:rtl w:val="true"/>
        </w:rPr>
        <w:t xml:space="preserve">")  </w:t>
      </w:r>
      <w:r>
        <w:rPr>
          <w:rtl w:val="true"/>
        </w:rPr>
        <w:t>ותיאם אתו את ייבוא הנשק דרך הגבול שבין ירדן לישראל</w:t>
      </w:r>
      <w:r>
        <w:rPr>
          <w:rtl w:val="true"/>
        </w:rPr>
        <w:t xml:space="preserve">, </w:t>
      </w:r>
      <w:r>
        <w:rPr>
          <w:rtl w:val="true"/>
        </w:rPr>
        <w:t xml:space="preserve">דרום מזרחית לישוב אשדות יעקב איחוד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מקום ההברחה</w:t>
      </w:r>
      <w:r>
        <w:rPr>
          <w:rtl w:val="true"/>
        </w:rPr>
        <w:t xml:space="preserve">"), </w:t>
      </w:r>
      <w:r>
        <w:rPr>
          <w:rtl w:val="true"/>
        </w:rPr>
        <w:t xml:space="preserve">כך שהנשק היה אמור להיות מוברח סמוך לשעה </w:t>
      </w:r>
      <w:r>
        <w:rPr/>
        <w:t>15:00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במקביל ובתיאום עם הנאשם לצורך מימוש הקשר</w:t>
      </w:r>
      <w:r>
        <w:rPr>
          <w:rtl w:val="true"/>
        </w:rPr>
        <w:t xml:space="preserve">, </w:t>
      </w:r>
      <w:r>
        <w:rPr>
          <w:rtl w:val="true"/>
        </w:rPr>
        <w:t>הגיע נאשם מ</w:t>
      </w:r>
      <w:bookmarkStart w:id="20" w:name="Seif8"/>
      <w:r>
        <w:rPr>
          <w:rtl w:val="true"/>
        </w:rPr>
        <w:t>ס</w:t>
      </w:r>
      <w:r>
        <w:rPr>
          <w:rtl w:val="true"/>
        </w:rPr>
        <w:t xml:space="preserve">' </w:t>
      </w:r>
      <w:bookmarkEnd w:id="20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14:45</w:t>
      </w:r>
      <w:r>
        <w:rPr>
          <w:rtl w:val="true"/>
        </w:rPr>
        <w:t xml:space="preserve">, </w:t>
      </w:r>
      <w:r>
        <w:rPr>
          <w:rtl w:val="true"/>
        </w:rPr>
        <w:t>אל מקום ההברחה במטרה לקבל לידיו את הנשק</w:t>
      </w:r>
      <w:r>
        <w:rPr>
          <w:rtl w:val="true"/>
        </w:rPr>
        <w:t xml:space="preserve">. </w:t>
      </w:r>
      <w:r>
        <w:rPr>
          <w:rtl w:val="true"/>
        </w:rPr>
        <w:t>בשל העובדה שממידע שקיבל הנאשם הוא סבר שבמקום ההברחה ישנם כוחות שיסכלו את ההברחה</w:t>
      </w:r>
      <w:r>
        <w:rPr>
          <w:rtl w:val="true"/>
        </w:rPr>
        <w:t xml:space="preserve">, </w:t>
      </w:r>
      <w:r>
        <w:rPr>
          <w:rtl w:val="true"/>
        </w:rPr>
        <w:t>החליטו הנאשם ונאשם מ</w:t>
      </w:r>
      <w:bookmarkStart w:id="21" w:name="Seif9"/>
      <w:r>
        <w:rPr>
          <w:rtl w:val="true"/>
        </w:rPr>
        <w:t>ס</w:t>
      </w:r>
      <w:r>
        <w:rPr>
          <w:rtl w:val="true"/>
        </w:rPr>
        <w:t xml:space="preserve">' </w:t>
      </w:r>
      <w:bookmarkEnd w:id="21"/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בתיאום עם הירדני להשהות את התוכנית לעת עתה</w:t>
      </w:r>
      <w:r>
        <w:rPr>
          <w:rtl w:val="true"/>
        </w:rPr>
        <w:t xml:space="preserve">, </w:t>
      </w:r>
      <w:r>
        <w:rPr>
          <w:rtl w:val="true"/>
        </w:rPr>
        <w:t>עד שהנאשם ונאשם מ</w:t>
      </w:r>
      <w:bookmarkStart w:id="22" w:name="Seif10"/>
      <w:r>
        <w:rPr>
          <w:rtl w:val="true"/>
        </w:rPr>
        <w:t>ס</w:t>
      </w:r>
      <w:r>
        <w:rPr>
          <w:rtl w:val="true"/>
        </w:rPr>
        <w:t xml:space="preserve">' </w:t>
      </w:r>
      <w:bookmarkEnd w:id="22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יפגשו פנים אל פנים ויבררו באופן בלתי אמצעי את חששם דלעיל ביחד עם הירדני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בסמוך לשעה </w:t>
      </w:r>
      <w:r>
        <w:rPr/>
        <w:t>15:30</w:t>
      </w:r>
      <w:r>
        <w:rPr>
          <w:rtl w:val="true"/>
        </w:rPr>
        <w:t xml:space="preserve">, </w:t>
      </w:r>
      <w:r>
        <w:rPr>
          <w:rtl w:val="true"/>
        </w:rPr>
        <w:t>עזב נאשם מ</w:t>
      </w:r>
      <w:bookmarkStart w:id="23" w:name="Seif11"/>
      <w:r>
        <w:rPr>
          <w:rtl w:val="true"/>
        </w:rPr>
        <w:t>ס</w:t>
      </w:r>
      <w:r>
        <w:rPr>
          <w:rtl w:val="true"/>
        </w:rPr>
        <w:t xml:space="preserve">' </w:t>
      </w:r>
      <w:bookmarkEnd w:id="23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את מקום ההברחה לכיוון מקום מגוריו של הנאשם  ובסמוך לשעה </w:t>
      </w:r>
      <w:r>
        <w:rPr/>
        <w:t>17:25</w:t>
      </w:r>
      <w:r>
        <w:rPr>
          <w:rtl w:val="true"/>
        </w:rPr>
        <w:t xml:space="preserve"> </w:t>
      </w:r>
      <w:r>
        <w:rPr>
          <w:rtl w:val="true"/>
        </w:rPr>
        <w:t>נפגשו השניים לצורך בירור חששם דלעיל</w:t>
      </w:r>
      <w:r>
        <w:rPr>
          <w:rtl w:val="true"/>
        </w:rPr>
        <w:t xml:space="preserve">, </w:t>
      </w:r>
      <w:r>
        <w:rPr>
          <w:rtl w:val="true"/>
        </w:rPr>
        <w:t>ולצרוך כך גם התקשרו לירדני ושוחחו 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לאחר השלמת הבירור הגיעו השלושה למסקנה לפיה מקום ההברחה </w:t>
      </w:r>
      <w:r>
        <w:rPr>
          <w:rtl w:val="true"/>
        </w:rPr>
        <w:t>"</w:t>
      </w:r>
      <w:r>
        <w:rPr>
          <w:rtl w:val="true"/>
        </w:rPr>
        <w:t>נקי</w:t>
      </w:r>
      <w:r>
        <w:rPr>
          <w:rtl w:val="true"/>
        </w:rPr>
        <w:t xml:space="preserve">" </w:t>
      </w:r>
      <w:r>
        <w:rPr>
          <w:rtl w:val="true"/>
        </w:rPr>
        <w:t>מכוחות</w:t>
      </w:r>
      <w:r>
        <w:rPr>
          <w:rtl w:val="true"/>
        </w:rPr>
        <w:t xml:space="preserve">. </w:t>
      </w:r>
      <w:r>
        <w:rPr>
          <w:rtl w:val="true"/>
        </w:rPr>
        <w:t>בשלב זה הוחלט לחדש את תכנית ההברחה</w:t>
      </w:r>
      <w:r>
        <w:rPr>
          <w:rtl w:val="true"/>
        </w:rPr>
        <w:t xml:space="preserve">. </w:t>
      </w:r>
      <w:r>
        <w:rPr>
          <w:rtl w:val="true"/>
        </w:rPr>
        <w:t>נאשם מ</w:t>
      </w:r>
      <w:bookmarkStart w:id="24" w:name="Seif12"/>
      <w:r>
        <w:rPr>
          <w:rtl w:val="true"/>
        </w:rPr>
        <w:t>ס</w:t>
      </w:r>
      <w:r>
        <w:rPr>
          <w:rtl w:val="true"/>
        </w:rPr>
        <w:t xml:space="preserve">' </w:t>
      </w:r>
      <w:bookmarkEnd w:id="24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מסר לנאשם כי הוא נוסע עם משפחתו לחיפה ולכן לא יוכל לבצע עמו את מעשה ההברחה אלא בשעה מאוחרת יותר</w:t>
      </w:r>
      <w:r>
        <w:rPr>
          <w:rtl w:val="true"/>
        </w:rPr>
        <w:t xml:space="preserve">, </w:t>
      </w:r>
      <w:r>
        <w:rPr>
          <w:rtl w:val="true"/>
        </w:rPr>
        <w:t>אי לכך</w:t>
      </w:r>
      <w:r>
        <w:rPr>
          <w:rtl w:val="true"/>
        </w:rPr>
        <w:t xml:space="preserve">, </w:t>
      </w:r>
      <w:r>
        <w:rPr>
          <w:rtl w:val="true"/>
        </w:rPr>
        <w:t>החליט הנאשם לבצע את הייבוא בלעדיו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16:30</w:t>
      </w:r>
      <w:r>
        <w:rPr>
          <w:rtl w:val="true"/>
        </w:rPr>
        <w:t xml:space="preserve"> </w:t>
      </w:r>
      <w:r>
        <w:rPr>
          <w:rtl w:val="true"/>
        </w:rPr>
        <w:t>יצר הנאשם קשר טלפוני עם נאשם מ</w:t>
      </w:r>
      <w:bookmarkStart w:id="25" w:name="Seif13"/>
      <w:r>
        <w:rPr>
          <w:rtl w:val="true"/>
        </w:rPr>
        <w:t>ס</w:t>
      </w:r>
      <w:r>
        <w:rPr>
          <w:rtl w:val="true"/>
        </w:rPr>
        <w:t xml:space="preserve">' </w:t>
      </w:r>
      <w:bookmarkEnd w:id="25"/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והשניים קבעו להיפגש</w:t>
      </w:r>
      <w:r>
        <w:rPr>
          <w:rtl w:val="true"/>
        </w:rPr>
        <w:t xml:space="preserve">. </w:t>
      </w:r>
      <w:r>
        <w:rPr>
          <w:rtl w:val="true"/>
        </w:rPr>
        <w:t>בהמשך אותו היום קשרו השניים קשר לפיו נאשם מ</w:t>
      </w:r>
      <w:bookmarkStart w:id="26" w:name="Seif14"/>
      <w:r>
        <w:rPr>
          <w:rtl w:val="true"/>
        </w:rPr>
        <w:t>ס</w:t>
      </w:r>
      <w:r>
        <w:rPr>
          <w:rtl w:val="true"/>
        </w:rPr>
        <w:t xml:space="preserve">' </w:t>
      </w:r>
      <w:bookmarkEnd w:id="26"/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יבוא ביחד עם הנאשם וינהג ברכבו של נאשם מ</w:t>
      </w:r>
      <w:bookmarkStart w:id="27" w:name="Seif15"/>
      <w:r>
        <w:rPr>
          <w:rtl w:val="true"/>
        </w:rPr>
        <w:t>ס</w:t>
      </w:r>
      <w:r>
        <w:rPr>
          <w:rtl w:val="true"/>
        </w:rPr>
        <w:t xml:space="preserve">' </w:t>
      </w:r>
      <w:bookmarkEnd w:id="27"/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מסוג 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 xml:space="preserve">וו מספר רישוי </w:t>
      </w:r>
      <w:r>
        <w:rPr/>
        <w:t>333-88-301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הב</w:t>
      </w:r>
      <w:r>
        <w:rPr>
          <w:rFonts w:cs="Miriam" w:ascii="Miriam" w:hAnsi="Miriam"/>
          <w:rtl w:val="true"/>
        </w:rPr>
        <w:t>.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.</w:t>
      </w:r>
      <w:r>
        <w:rPr>
          <w:rFonts w:ascii="Miriam" w:hAnsi="Miriam" w:cs="Miriam"/>
          <w:rtl w:val="true"/>
        </w:rPr>
        <w:t>וו</w:t>
      </w:r>
      <w:r>
        <w:rPr>
          <w:rtl w:val="true"/>
        </w:rPr>
        <w:t xml:space="preserve">"), </w:t>
      </w:r>
      <w:r>
        <w:rPr>
          <w:rtl w:val="true"/>
        </w:rPr>
        <w:t>אל מקום ההברחה וביחד הם יאספו את הנשק מהמקום</w:t>
      </w:r>
      <w:r>
        <w:rPr>
          <w:rtl w:val="true"/>
        </w:rPr>
        <w:t xml:space="preserve">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קשר הנאשם  קשר עם נאשם מ</w:t>
      </w:r>
      <w:bookmarkStart w:id="28" w:name="Seif16"/>
      <w:r>
        <w:rPr>
          <w:rtl w:val="true"/>
        </w:rPr>
        <w:t>ס</w:t>
      </w:r>
      <w:r>
        <w:rPr>
          <w:rtl w:val="true"/>
        </w:rPr>
        <w:t xml:space="preserve">' </w:t>
      </w:r>
      <w:bookmarkEnd w:id="28"/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לפיו הוא יסייע לו במעשה הייבוא ולצורך כך יגיע סמוך למקום ההברחה ברכבו מסוג טויוטה 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81-096-86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הטויוטה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בהתאם לתכנון המוקדם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נסעו הנאשם  ונאשם מ</w:t>
      </w:r>
      <w:bookmarkStart w:id="29" w:name="Seif17"/>
      <w:r>
        <w:rPr>
          <w:rtl w:val="true"/>
        </w:rPr>
        <w:t>ס</w:t>
      </w:r>
      <w:r>
        <w:rPr>
          <w:rtl w:val="true"/>
        </w:rPr>
        <w:t xml:space="preserve">' </w:t>
      </w:r>
      <w:bookmarkEnd w:id="29"/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 הב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 ואילו נאשם מ</w:t>
      </w:r>
      <w:bookmarkStart w:id="30" w:name="Seif18"/>
      <w:r>
        <w:rPr>
          <w:rtl w:val="true"/>
        </w:rPr>
        <w:t>ס</w:t>
      </w:r>
      <w:r>
        <w:rPr>
          <w:rtl w:val="true"/>
        </w:rPr>
        <w:t xml:space="preserve">'  </w:t>
      </w:r>
      <w:bookmarkEnd w:id="30"/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נסע ביחד עם אדם נוסף ברכב הטויוטה לכיוון מקום ההברחה</w:t>
      </w:r>
      <w:r>
        <w:rPr>
          <w:rtl w:val="true"/>
        </w:rPr>
        <w:t xml:space="preserve">. </w:t>
      </w:r>
      <w:r>
        <w:rPr>
          <w:rtl w:val="true"/>
        </w:rPr>
        <w:t>במהלך הדרך עמד הנאשם  בקשר טלפוני רצוף עם הירדני ושותפיו והנחה אותם להכניס את הנשק לשטח ישראל ולהשאיר אותו במקום מוסתר במקום ההברחה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בהתאם לתיאומים אלה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הגיעו שני אנשים מצדו הירדני של הגבול</w:t>
      </w:r>
      <w:r>
        <w:rPr>
          <w:rtl w:val="true"/>
        </w:rPr>
        <w:t xml:space="preserve">, </w:t>
      </w:r>
      <w:r>
        <w:rPr>
          <w:rtl w:val="true"/>
        </w:rPr>
        <w:t xml:space="preserve">כשאחד מהם נושא שק ובו שני תיקים שבהם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כלי נשק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Miriam" w:hAnsi="Miriam" w:cs="Miriam"/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אחד מן השניים טיפס מעל לגדר המערכת</w:t>
      </w:r>
      <w:r>
        <w:rPr>
          <w:rtl w:val="true"/>
        </w:rPr>
        <w:t xml:space="preserve">, </w:t>
      </w:r>
      <w:r>
        <w:rPr>
          <w:rtl w:val="true"/>
        </w:rPr>
        <w:t>חצה את הגבול והניח את השק ובו כלי הנשק במקום המוסכם וחזר לירדן</w:t>
      </w:r>
      <w:r>
        <w:rPr>
          <w:rtl w:val="true"/>
        </w:rPr>
        <w:t xml:space="preserve">. </w:t>
      </w:r>
      <w:r>
        <w:rPr>
          <w:rtl w:val="true"/>
        </w:rPr>
        <w:t xml:space="preserve">הנחת הנשק במקום המסתור דווחה לנאשם ובהנחייתו נותרו שני הירדנים סמוך לגבול ותצפתו על מקום הנחת השק על מנת להבטיח שאיסוף הנשק יתבצע בצורה </w:t>
      </w:r>
      <w:r>
        <w:rPr>
          <w:rtl w:val="true"/>
        </w:rPr>
        <w:t>"</w:t>
      </w:r>
      <w:r>
        <w:rPr>
          <w:rtl w:val="true"/>
        </w:rPr>
        <w:t>בטוחה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מספר דקות לאחר מכן</w:t>
      </w:r>
      <w:r>
        <w:rPr>
          <w:rtl w:val="true"/>
        </w:rPr>
        <w:t xml:space="preserve">, </w:t>
      </w:r>
      <w:r>
        <w:rPr>
          <w:rtl w:val="true"/>
        </w:rPr>
        <w:t>הגיעו הנאשם ונאשם מ</w:t>
      </w:r>
      <w:bookmarkStart w:id="31" w:name="Seif19"/>
      <w:r>
        <w:rPr>
          <w:rtl w:val="true"/>
        </w:rPr>
        <w:t>ס</w:t>
      </w:r>
      <w:r>
        <w:rPr>
          <w:rtl w:val="true"/>
        </w:rPr>
        <w:t xml:space="preserve">' </w:t>
      </w:r>
      <w:bookmarkEnd w:id="31"/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 למקום ההברחה</w:t>
      </w:r>
      <w:r>
        <w:rPr>
          <w:rtl w:val="true"/>
        </w:rPr>
        <w:t xml:space="preserve">, </w:t>
      </w:r>
      <w:r>
        <w:rPr>
          <w:rtl w:val="true"/>
        </w:rPr>
        <w:t>ועצרו סמוך למקום בו הונח הנשק</w:t>
      </w:r>
      <w:r>
        <w:rPr>
          <w:rtl w:val="true"/>
        </w:rPr>
        <w:t xml:space="preserve">. </w:t>
      </w:r>
      <w:r>
        <w:rPr>
          <w:rtl w:val="true"/>
        </w:rPr>
        <w:t>הנאשם  ירד מהרכב</w:t>
      </w:r>
      <w:r>
        <w:rPr>
          <w:rtl w:val="true"/>
        </w:rPr>
        <w:t xml:space="preserve">, </w:t>
      </w:r>
      <w:r>
        <w:rPr>
          <w:rtl w:val="true"/>
        </w:rPr>
        <w:t>ניגש למקום המסתור והתכופף לכיוון השק על מנת ליטול 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הגיע נאשם מ</w:t>
      </w:r>
      <w:bookmarkStart w:id="32" w:name="Seif20"/>
      <w:r>
        <w:rPr>
          <w:rtl w:val="true"/>
        </w:rPr>
        <w:t>ס</w:t>
      </w:r>
      <w:r>
        <w:rPr>
          <w:rtl w:val="true"/>
        </w:rPr>
        <w:t xml:space="preserve">' </w:t>
      </w:r>
      <w:bookmarkEnd w:id="32"/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בטויוטה לתחנת הדלק בכניסה לישוב אשדות יעקב מאוחד והמתין במקום על מנת לסייע בייבוא הנשק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עצרו כוחות המשטרה את הנאשם ונאשמים מ</w:t>
      </w:r>
      <w:bookmarkStart w:id="33" w:name="Seif21"/>
      <w:r>
        <w:rPr>
          <w:rtl w:val="true"/>
        </w:rPr>
        <w:t>ס</w:t>
      </w:r>
      <w:r>
        <w:rPr>
          <w:rtl w:val="true"/>
        </w:rPr>
        <w:t xml:space="preserve">' </w:t>
      </w:r>
      <w:bookmarkEnd w:id="33"/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 xml:space="preserve">וכן תפסו את השק ובו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כלי הנשק שכללו</w:t>
      </w:r>
      <w:r>
        <w:rPr>
          <w:rtl w:val="true"/>
        </w:rPr>
        <w:t xml:space="preserve">: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 xml:space="preserve">אקדחים מסוגים שונים עם מחסניות תואמות וכן עוד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מחסניות נוספות  התואמות 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אקדחים </w:t>
      </w:r>
      <w:r>
        <w:rPr>
          <w:rtl w:val="true"/>
        </w:rPr>
        <w:t>(</w:t>
      </w:r>
      <w:r>
        <w:rPr>
          <w:rtl w:val="true"/>
        </w:rPr>
        <w:t>ל</w:t>
      </w:r>
      <w:bookmarkStart w:id="34" w:name="Seif41"/>
      <w:r>
        <w:rPr>
          <w:rtl w:val="true"/>
        </w:rPr>
        <w:t xml:space="preserve">חלק מהאקדחים </w:t>
      </w:r>
      <w:bookmarkEnd w:id="34"/>
      <w:r>
        <w:rPr>
          <w:rtl w:val="true"/>
        </w:rPr>
        <w:t>נתפסו שתי מחסניות תואמות</w:t>
      </w:r>
      <w:r>
        <w:rPr>
          <w:rtl w:val="true"/>
        </w:rPr>
        <w:t xml:space="preserve">). </w:t>
      </w:r>
      <w:r>
        <w:rPr>
          <w:rtl w:val="true"/>
        </w:rPr>
        <w:t xml:space="preserve">כמו כן נתפס נשק אוטומטי בצבע שחור תוצרת גרמניה וגלגל תוף רזרבי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– </w:t>
      </w:r>
      <w:r>
        <w:rPr/>
        <w:t>CAL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תסקיר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בעניינו של הנאשם הוגש תסקיר ממנו עולה כי הוא כבן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נשוי ואב לשלושה ילדים</w:t>
      </w:r>
      <w:r>
        <w:rPr>
          <w:rtl w:val="true"/>
        </w:rPr>
        <w:t xml:space="preserve">, </w:t>
      </w:r>
      <w:r>
        <w:rPr>
          <w:rtl w:val="true"/>
        </w:rPr>
        <w:t>טרם מעצרו התגורר בבאקה אלגרביה</w:t>
      </w:r>
      <w:r>
        <w:rPr>
          <w:rtl w:val="true"/>
        </w:rPr>
        <w:t xml:space="preserve">. </w:t>
      </w:r>
      <w:r>
        <w:rPr>
          <w:rtl w:val="true"/>
        </w:rPr>
        <w:t xml:space="preserve">לחובתו הרשעה אחת בפלילים משנת </w:t>
      </w:r>
      <w:r>
        <w:rPr/>
        <w:t>2013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שירות המבחן ציין בתסקיר כי בהתייחסותו לעבירות מושא כתב האישום</w:t>
      </w:r>
      <w:r>
        <w:rPr>
          <w:rtl w:val="true"/>
        </w:rPr>
        <w:t xml:space="preserve">, </w:t>
      </w:r>
      <w:r>
        <w:rPr>
          <w:rtl w:val="true"/>
        </w:rPr>
        <w:t>הודה הנאשם בפניהם במיוחס לו ומסר כי קיימת היכרות קודמת עם שותפיו לתיק</w:t>
      </w:r>
      <w:r>
        <w:rPr>
          <w:rtl w:val="true"/>
        </w:rPr>
        <w:t xml:space="preserve">. </w:t>
      </w:r>
      <w:r>
        <w:rPr>
          <w:rtl w:val="true"/>
        </w:rPr>
        <w:t>כן מסר כי הגיע למקום בו היו לעתים נפגשים כ</w:t>
      </w:r>
      <w:bookmarkStart w:id="35" w:name="Seif42"/>
      <w:r>
        <w:rPr>
          <w:rtl w:val="true"/>
        </w:rPr>
        <w:t xml:space="preserve">חלק מבילוי </w:t>
      </w:r>
      <w:bookmarkEnd w:id="35"/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אך לא ידע שמדובר בייבוא של נשק והסתמך על נאשם מ</w:t>
      </w:r>
      <w:bookmarkStart w:id="36" w:name="Seif22"/>
      <w:r>
        <w:rPr>
          <w:rtl w:val="true"/>
        </w:rPr>
        <w:t>ס</w:t>
      </w:r>
      <w:r>
        <w:rPr>
          <w:rtl w:val="true"/>
        </w:rPr>
        <w:t xml:space="preserve">'  </w:t>
      </w:r>
      <w:bookmarkEnd w:id="36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אשר מסר לו כי אין המדובר בעבירה על החוק</w:t>
      </w:r>
      <w:r>
        <w:rPr>
          <w:rtl w:val="true"/>
        </w:rPr>
        <w:t xml:space="preserve">. </w:t>
      </w:r>
      <w:r>
        <w:rPr>
          <w:rtl w:val="true"/>
        </w:rPr>
        <w:t>הנאשם הוסיף וציין כי לא בחן לעומק את משמעות מעשיו</w:t>
      </w:r>
      <w:r>
        <w:rPr>
          <w:rtl w:val="true"/>
        </w:rPr>
        <w:t xml:space="preserve">, </w:t>
      </w:r>
      <w:r>
        <w:rPr>
          <w:rtl w:val="true"/>
        </w:rPr>
        <w:t>לא הפעיל שיקול דעת תקין ונכנע לדחף ולפיתוי בקבלת רווח כספי 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שירות המבחן הוסיף וציין כי בפניהם</w:t>
      </w:r>
      <w:r>
        <w:rPr>
          <w:rtl w:val="true"/>
        </w:rPr>
        <w:t xml:space="preserve">, </w:t>
      </w:r>
      <w:r>
        <w:rPr>
          <w:rtl w:val="true"/>
        </w:rPr>
        <w:t>ביטא הנאשם הבנה לכך שמדובר בעבירה פלילית חמורה ומסר כי התנהלותו מנוגדת לערכיו ולערכי משפחתו</w:t>
      </w:r>
      <w:r>
        <w:rPr>
          <w:rtl w:val="true"/>
        </w:rPr>
        <w:t xml:space="preserve">, </w:t>
      </w:r>
      <w:r>
        <w:rPr>
          <w:rtl w:val="true"/>
        </w:rPr>
        <w:t>אשר מבוססים על היעדר לגיטימציה למעשים עבריינים</w:t>
      </w:r>
      <w:r>
        <w:rPr>
          <w:rtl w:val="true"/>
        </w:rPr>
        <w:t xml:space="preserve">. </w:t>
      </w:r>
      <w:r>
        <w:rPr>
          <w:rtl w:val="true"/>
        </w:rPr>
        <w:t>הנאשם שלל כוונה לעשות עסקה או שימוש בנשק</w:t>
      </w:r>
      <w:r>
        <w:rPr>
          <w:rtl w:val="true"/>
        </w:rPr>
        <w:t xml:space="preserve">, </w:t>
      </w:r>
      <w:r>
        <w:rPr>
          <w:rtl w:val="true"/>
        </w:rPr>
        <w:t>ביטא עמדות מתנגדות להחזקת נשק על רקע תרבותי או על רקע חרדה לביטחון האישי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שלל סכסוכים עם גורמים שונים ותיאר את עצמו כמי שמנהל אורח חיים תקין ומתפקד ומשקיע מאמצים לפרנס את משפחתו</w:t>
      </w:r>
      <w:r>
        <w:rPr>
          <w:rtl w:val="true"/>
        </w:rPr>
        <w:t xml:space="preserve">. </w:t>
      </w:r>
      <w:r>
        <w:rPr>
          <w:rtl w:val="true"/>
        </w:rPr>
        <w:t>הנאשם הביע בפני שירות המבחן צער ואכזבה על מעורבותו בעבירות</w:t>
      </w:r>
      <w:r>
        <w:rPr>
          <w:rtl w:val="true"/>
        </w:rPr>
        <w:t xml:space="preserve">, </w:t>
      </w:r>
      <w:r>
        <w:rPr>
          <w:rtl w:val="true"/>
        </w:rPr>
        <w:t>ביטא הבנה לחומרת המיוחס לו ולסיכון הכרוך בנושא הנשק הבלתי חוקי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שירות המבחן ציין בתסקיר כי בפגישה עם הנאשם בלטה מחוברותו למחירים האישיים בהם הוא נושא על רקע ההליך הפלילי הן ברמה האישית</w:t>
      </w:r>
      <w:r>
        <w:rPr>
          <w:rtl w:val="true"/>
        </w:rPr>
        <w:t xml:space="preserve">, </w:t>
      </w:r>
      <w:r>
        <w:rPr>
          <w:rtl w:val="true"/>
        </w:rPr>
        <w:t>המשפחתית</w:t>
      </w:r>
      <w:r>
        <w:rPr>
          <w:rtl w:val="true"/>
        </w:rPr>
        <w:t xml:space="preserve">, </w:t>
      </w:r>
      <w:r>
        <w:rPr>
          <w:rtl w:val="true"/>
        </w:rPr>
        <w:t>התעסוקתית והכלכלית</w:t>
      </w:r>
      <w:r>
        <w:rPr>
          <w:rtl w:val="true"/>
        </w:rPr>
        <w:t xml:space="preserve">, </w:t>
      </w:r>
      <w:r>
        <w:rPr>
          <w:rtl w:val="true"/>
        </w:rPr>
        <w:t>בעיקר בשל מעצרו הממושך והרחקתו ממקום מגוריו</w:t>
      </w:r>
      <w:r>
        <w:rPr>
          <w:rtl w:val="true"/>
        </w:rPr>
        <w:t xml:space="preserve">. </w:t>
      </w:r>
      <w:r>
        <w:rPr>
          <w:rtl w:val="true"/>
        </w:rPr>
        <w:t>כן ציין שירות המבחן כי בלט גם עיסוקו בעונש הצפוי לו והשלכותיו על המשך חייו</w:t>
      </w:r>
      <w:r>
        <w:rPr>
          <w:rtl w:val="true"/>
        </w:rPr>
        <w:t xml:space="preserve">. </w:t>
      </w:r>
      <w:r>
        <w:rPr>
          <w:rtl w:val="true"/>
        </w:rPr>
        <w:t>הנאשם שיתף בקשייו בפן הכלכלי והביע תחושות של תסכול</w:t>
      </w:r>
      <w:r>
        <w:rPr>
          <w:rtl w:val="true"/>
        </w:rPr>
        <w:t xml:space="preserve">, </w:t>
      </w:r>
      <w:r>
        <w:rPr>
          <w:rtl w:val="true"/>
        </w:rPr>
        <w:t>אכזבה וחוסר אונים מהתנהלותו באירוע כתב האישום</w:t>
      </w:r>
      <w:r>
        <w:rPr>
          <w:rtl w:val="true"/>
        </w:rPr>
        <w:t xml:space="preserve">. </w:t>
      </w:r>
      <w:r>
        <w:rPr>
          <w:rtl w:val="true"/>
        </w:rPr>
        <w:t>שירות המבחן הוסיף וציין כי בשיחה עם הנאשם הביע רצון לשקם את חייו ולחזור לאורח חיים חיובי ותקין</w:t>
      </w:r>
      <w:r>
        <w:rPr>
          <w:rtl w:val="true"/>
        </w:rPr>
        <w:t xml:space="preserve">, </w:t>
      </w:r>
      <w:r>
        <w:rPr>
          <w:rtl w:val="true"/>
        </w:rPr>
        <w:t>תוך ששיתף כי מעצרו וההליכים המשפטיים המתנהלים נגדו</w:t>
      </w:r>
      <w:r>
        <w:rPr>
          <w:rtl w:val="true"/>
        </w:rPr>
        <w:t xml:space="preserve">, </w:t>
      </w:r>
      <w:r>
        <w:rPr>
          <w:rtl w:val="true"/>
        </w:rPr>
        <w:t>הוו גורם מרתיע וחדדו לו את חומרת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בבוא שירות המבחן להעריך את הסיכון לעבריינות אל מול סיכויי השיקום</w:t>
      </w:r>
      <w:r>
        <w:rPr>
          <w:rtl w:val="true"/>
        </w:rPr>
        <w:t xml:space="preserve">, </w:t>
      </w:r>
      <w:r>
        <w:rPr>
          <w:rtl w:val="true"/>
        </w:rPr>
        <w:t>הדגיש כי בסיום הליך האבחון</w:t>
      </w:r>
      <w:r>
        <w:rPr>
          <w:rtl w:val="true"/>
        </w:rPr>
        <w:t xml:space="preserve">, </w:t>
      </w:r>
      <w:r>
        <w:rPr>
          <w:rtl w:val="true"/>
        </w:rPr>
        <w:t>התרשם מאדם בעל יכולת תפקודית גבוהה</w:t>
      </w:r>
      <w:r>
        <w:rPr>
          <w:rtl w:val="true"/>
        </w:rPr>
        <w:t xml:space="preserve">, </w:t>
      </w:r>
      <w:r>
        <w:rPr>
          <w:rtl w:val="true"/>
        </w:rPr>
        <w:t>בעל הערכה חיובית בסביבתו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הרקע לביצוע העבירות עליהם נותן את הדין</w:t>
      </w:r>
      <w:r>
        <w:rPr>
          <w:rtl w:val="true"/>
        </w:rPr>
        <w:t xml:space="preserve">, </w:t>
      </w:r>
      <w:r>
        <w:rPr>
          <w:rtl w:val="true"/>
        </w:rPr>
        <w:t>הינו ניהול קשרים חברתיים שליליים</w:t>
      </w:r>
      <w:r>
        <w:rPr>
          <w:rtl w:val="true"/>
        </w:rPr>
        <w:t xml:space="preserve">, </w:t>
      </w:r>
      <w:r>
        <w:rPr>
          <w:rtl w:val="true"/>
        </w:rPr>
        <w:t>כאשר עמדותיו ואורח החיים הנורמטיבי שניהל</w:t>
      </w:r>
      <w:r>
        <w:rPr>
          <w:rtl w:val="true"/>
        </w:rPr>
        <w:t xml:space="preserve">, </w:t>
      </w:r>
      <w:r>
        <w:rPr>
          <w:rtl w:val="true"/>
        </w:rPr>
        <w:t>לא סייעו בהצבת גבולות פנימיים וחיצוניים לרצונו להפיק רווח כספי קל ומהיר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כן ציין שירות המבחן כי בגיבוש ההמלצה אודות הנאשם</w:t>
      </w:r>
      <w:r>
        <w:rPr>
          <w:rtl w:val="true"/>
        </w:rPr>
        <w:t xml:space="preserve">, </w:t>
      </w:r>
      <w:r>
        <w:rPr>
          <w:rtl w:val="true"/>
        </w:rPr>
        <w:t>שקלו את גורמי הסיכון להישנות ביצוע עבירות</w:t>
      </w:r>
      <w:r>
        <w:rPr>
          <w:rtl w:val="true"/>
        </w:rPr>
        <w:t xml:space="preserve">, </w:t>
      </w:r>
      <w:r>
        <w:rPr>
          <w:rtl w:val="true"/>
        </w:rPr>
        <w:t>ב</w:t>
      </w:r>
      <w:bookmarkStart w:id="37" w:name="Seif46"/>
      <w:r>
        <w:rPr>
          <w:rtl w:val="true"/>
        </w:rPr>
        <w:t xml:space="preserve">כלל זה </w:t>
      </w:r>
      <w:bookmarkEnd w:id="37"/>
      <w:r>
        <w:rPr>
          <w:rtl w:val="true"/>
        </w:rPr>
        <w:t>חומרת העבירות</w:t>
      </w:r>
      <w:r>
        <w:rPr>
          <w:rtl w:val="true"/>
        </w:rPr>
        <w:t xml:space="preserve">, </w:t>
      </w:r>
      <w:r>
        <w:rPr>
          <w:rtl w:val="true"/>
        </w:rPr>
        <w:t>קיום קשרים חברתיים בעייתיים</w:t>
      </w:r>
      <w:r>
        <w:rPr>
          <w:rtl w:val="true"/>
        </w:rPr>
        <w:t xml:space="preserve">, </w:t>
      </w:r>
      <w:r>
        <w:rPr>
          <w:rtl w:val="true"/>
        </w:rPr>
        <w:t>קשיו לבחון באופן מעמיק קשרים אלה</w:t>
      </w:r>
      <w:r>
        <w:rPr>
          <w:rtl w:val="true"/>
        </w:rPr>
        <w:t xml:space="preserve">, </w:t>
      </w:r>
      <w:r>
        <w:rPr>
          <w:rtl w:val="true"/>
        </w:rPr>
        <w:t>הימנעות מלבחון באופן מעמיק את בחירותיו</w:t>
      </w:r>
      <w:r>
        <w:rPr>
          <w:rtl w:val="true"/>
        </w:rPr>
        <w:t xml:space="preserve">, </w:t>
      </w:r>
      <w:r>
        <w:rPr>
          <w:rtl w:val="true"/>
        </w:rPr>
        <w:t>מעשיו והשלכותיהם לרבות המחירים בהם עלול לשאת</w:t>
      </w:r>
      <w:r>
        <w:rPr>
          <w:rtl w:val="true"/>
        </w:rPr>
        <w:t xml:space="preserve">, </w:t>
      </w:r>
      <w:r>
        <w:rPr>
          <w:rtl w:val="true"/>
        </w:rPr>
        <w:t>קשייו להציב גבולות פנימיים וחיצוניים וכן קשייו לעמוד בדחף ובפיתוי להשיג רווח קל ומהיר</w:t>
      </w:r>
      <w:r>
        <w:rPr>
          <w:rtl w:val="true"/>
        </w:rPr>
        <w:t xml:space="preserve">. </w:t>
      </w:r>
      <w:r>
        <w:rPr>
          <w:rtl w:val="true"/>
        </w:rPr>
        <w:t>מנגד שקלו את גורמי הסיכוי לשיקום</w:t>
      </w:r>
      <w:r>
        <w:rPr>
          <w:rtl w:val="true"/>
        </w:rPr>
        <w:t xml:space="preserve">, </w:t>
      </w:r>
      <w:r>
        <w:rPr>
          <w:rtl w:val="true"/>
        </w:rPr>
        <w:t>לרבות העובדה כי המדובר באדם בעל יכולות ורבאליות ותפקודיות תקינות</w:t>
      </w:r>
      <w:r>
        <w:rPr>
          <w:rtl w:val="true"/>
        </w:rPr>
        <w:t xml:space="preserve">, </w:t>
      </w:r>
      <w:r>
        <w:rPr>
          <w:rtl w:val="true"/>
        </w:rPr>
        <w:t>היעדר עבר פלילי מכביד</w:t>
      </w:r>
      <w:r>
        <w:rPr>
          <w:rtl w:val="true"/>
        </w:rPr>
        <w:t xml:space="preserve">, </w:t>
      </w:r>
      <w:r>
        <w:rPr>
          <w:rtl w:val="true"/>
        </w:rPr>
        <w:t>העובדה כי ההליך המשפטי מהווה גורם הרתעה משמעותי עבורו</w:t>
      </w:r>
      <w:r>
        <w:rPr>
          <w:rtl w:val="true"/>
        </w:rPr>
        <w:t xml:space="preserve">, </w:t>
      </w:r>
      <w:r>
        <w:rPr>
          <w:rtl w:val="true"/>
        </w:rPr>
        <w:t>תפקודו בתא המשפחתי ותפקודו התעסוקתי התקין לאורך השנים</w:t>
      </w:r>
      <w:r>
        <w:rPr>
          <w:rtl w:val="true"/>
        </w:rPr>
        <w:t xml:space="preserve">, </w:t>
      </w:r>
      <w:r>
        <w:rPr>
          <w:rtl w:val="true"/>
        </w:rPr>
        <w:t>הערכת הסובבים אותו</w:t>
      </w:r>
      <w:r>
        <w:rPr>
          <w:rtl w:val="true"/>
        </w:rPr>
        <w:t xml:space="preserve">, </w:t>
      </w:r>
      <w:r>
        <w:rPr>
          <w:rtl w:val="true"/>
        </w:rPr>
        <w:t>שאיפותיו לנהל אורח חיים נורמטיבי ויציב</w:t>
      </w:r>
      <w:r>
        <w:rPr>
          <w:rtl w:val="true"/>
        </w:rPr>
        <w:t xml:space="preserve">, </w:t>
      </w:r>
      <w:r>
        <w:rPr>
          <w:rtl w:val="true"/>
        </w:rPr>
        <w:t>הבעת צער וחרטה על התנהלותו</w:t>
      </w:r>
      <w:r>
        <w:rPr>
          <w:rtl w:val="true"/>
        </w:rPr>
        <w:t xml:space="preserve">, </w:t>
      </w:r>
      <w:r>
        <w:rPr>
          <w:rtl w:val="true"/>
        </w:rPr>
        <w:t xml:space="preserve">הבעת אכזבה עצמית בשל הפגיעה שהסב לבני משפחתו  וכן שיתוף הפעולה עם גורמי הטיפול במסגרת חלופת המעצר </w:t>
      </w:r>
      <w:r>
        <w:rPr>
          <w:rtl w:val="true"/>
        </w:rPr>
        <w:t>"</w:t>
      </w:r>
      <w:r>
        <w:rPr>
          <w:rtl w:val="true"/>
        </w:rPr>
        <w:t>בית חם</w:t>
      </w:r>
      <w:r>
        <w:rPr>
          <w:rtl w:val="true"/>
        </w:rPr>
        <w:t xml:space="preserve">" </w:t>
      </w:r>
      <w:r>
        <w:rPr>
          <w:rtl w:val="true"/>
        </w:rPr>
        <w:t>בה שוהה בתנאי מעצר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tl w:val="true"/>
        </w:rPr>
        <w:t xml:space="preserve">באיזון </w:t>
      </w:r>
      <w:bookmarkStart w:id="38" w:name="Seif47"/>
      <w:r>
        <w:rPr>
          <w:rtl w:val="true"/>
        </w:rPr>
        <w:t>כלל הגורמים</w:t>
      </w:r>
      <w:bookmarkEnd w:id="38"/>
      <w:r>
        <w:rPr>
          <w:rtl w:val="true"/>
        </w:rPr>
        <w:t xml:space="preserve">, </w:t>
      </w:r>
      <w:r>
        <w:rPr>
          <w:rtl w:val="true"/>
        </w:rPr>
        <w:t>סבר שירות המבחן כי קיים סיכון להישנות ביצוע עבירות דומות בעתיד והוא נמנע מלבוא בהמלצה שיקומית במסגרת הקהילה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המליץ לגורמי שב</w:t>
      </w:r>
      <w:r>
        <w:rPr>
          <w:rtl w:val="true"/>
        </w:rPr>
        <w:t>"</w:t>
      </w:r>
      <w:r>
        <w:rPr>
          <w:rtl w:val="true"/>
        </w:rPr>
        <w:t>ס לשקול את שילובו של הנאשם בהליך טיפולי בין כותלי בית הסוהר</w:t>
      </w:r>
      <w:r>
        <w:rPr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ראיות לעונש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ותרומתו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הצלחתו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bookmarkStart w:id="39" w:name="Seif43"/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bookmarkEnd w:id="39"/>
      <w:r>
        <w:rPr>
          <w:rFonts w:ascii="Calibri" w:hAnsi="Calibri" w:cs="Calibri"/>
          <w:rtl w:val="true"/>
        </w:rPr>
        <w:t>השיקומי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עדי אופי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אסראא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התדרדר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טיעוני הצדדים לעונש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בפתח טיעוניה לעונש עמדה המאשימה על חומרת מעשיו של הנאשם ועל הערכים החברתיים שנפגעו מייבוא ונשיאת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כלי נשק</w:t>
      </w:r>
      <w:r>
        <w:rPr>
          <w:rtl w:val="true"/>
        </w:rPr>
        <w:t xml:space="preserve">, </w:t>
      </w:r>
      <w:r>
        <w:rPr>
          <w:rtl w:val="true"/>
        </w:rPr>
        <w:t>ביטחון המדינה וריבונותה</w:t>
      </w:r>
      <w:r>
        <w:rPr>
          <w:rtl w:val="true"/>
        </w:rPr>
        <w:t xml:space="preserve">, </w:t>
      </w:r>
      <w:r>
        <w:rPr>
          <w:rtl w:val="true"/>
        </w:rPr>
        <w:t>שלמות גוף האדם</w:t>
      </w:r>
      <w:r>
        <w:rPr>
          <w:rtl w:val="true"/>
        </w:rPr>
        <w:t xml:space="preserve">, </w:t>
      </w:r>
      <w:r>
        <w:rPr>
          <w:rtl w:val="true"/>
        </w:rPr>
        <w:t>ביטחון הציבור והסדר הציבור</w:t>
      </w:r>
      <w:r>
        <w:rPr>
          <w:rtl w:val="true"/>
        </w:rPr>
        <w:t xml:space="preserve">. </w:t>
      </w:r>
      <w:r>
        <w:rPr>
          <w:rtl w:val="true"/>
        </w:rPr>
        <w:t>לגישת המאשימה</w:t>
      </w:r>
      <w:r>
        <w:rPr>
          <w:rtl w:val="true"/>
        </w:rPr>
        <w:t xml:space="preserve">, </w:t>
      </w:r>
      <w:r>
        <w:rPr>
          <w:rtl w:val="true"/>
        </w:rPr>
        <w:t>הפגיעה בערכים המוגנים הנובעת מזמינותו של נשק חם המוחזק בידי אנשים</w:t>
      </w:r>
      <w:r>
        <w:rPr>
          <w:rtl w:val="true"/>
        </w:rPr>
        <w:t xml:space="preserve">, </w:t>
      </w:r>
      <w:r>
        <w:rPr>
          <w:rtl w:val="true"/>
        </w:rPr>
        <w:t>הינה משמעותית וחמורה</w:t>
      </w:r>
      <w:r>
        <w:rPr>
          <w:rtl w:val="true"/>
        </w:rPr>
        <w:t xml:space="preserve">. </w:t>
      </w:r>
      <w:r>
        <w:rPr>
          <w:rtl w:val="true"/>
        </w:rPr>
        <w:t>כאשר עבירת יבוא הנשק מצויה במדרג החומרה הגבוה ביותר מ</w:t>
      </w:r>
      <w:bookmarkStart w:id="40" w:name="Seif48"/>
      <w:r>
        <w:rPr>
          <w:rtl w:val="true"/>
        </w:rPr>
        <w:t xml:space="preserve">כלל עבירות </w:t>
      </w:r>
      <w:bookmarkEnd w:id="40"/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 xml:space="preserve">על אחת כמה וכמה עת מדובר בייבוא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כלי נשק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המאשימה ביקשה להדגיש כי בעת האחרונה אנו עדים לאיבוד תחושת הביטחון האישי בישראל ב</w:t>
      </w:r>
      <w:bookmarkStart w:id="41" w:name="Seif49"/>
      <w:r>
        <w:rPr>
          <w:rtl w:val="true"/>
        </w:rPr>
        <w:t xml:space="preserve">כלל ובחברה </w:t>
      </w:r>
      <w:bookmarkEnd w:id="41"/>
      <w:r>
        <w:rPr>
          <w:rtl w:val="true"/>
        </w:rPr>
        <w:t>הערבית בפרט</w:t>
      </w:r>
      <w:r>
        <w:rPr>
          <w:rtl w:val="true"/>
        </w:rPr>
        <w:t xml:space="preserve">, </w:t>
      </w:r>
      <w:r>
        <w:rPr>
          <w:rtl w:val="true"/>
        </w:rPr>
        <w:t>תחושה הנובעת בעיקר מריבוי אירועי האלימות בהן מעורבים כלי נשק אשר הוחזקו באופן בלתי חוקי</w:t>
      </w:r>
      <w:r>
        <w:rPr>
          <w:rtl w:val="true"/>
        </w:rPr>
        <w:t xml:space="preserve">.  </w:t>
      </w:r>
      <w:r>
        <w:rPr>
          <w:rtl w:val="true"/>
        </w:rPr>
        <w:t>כן הדגישה כי בתי המשפט בראשם בית המשפט העליון</w:t>
      </w:r>
      <w:r>
        <w:rPr>
          <w:rtl w:val="true"/>
        </w:rPr>
        <w:t xml:space="preserve">, </w:t>
      </w:r>
      <w:r>
        <w:rPr>
          <w:rtl w:val="true"/>
        </w:rPr>
        <w:t>עמדו לא אחת על הצורך להירתם למאבק הבלתי מתפשר בתופעה זו</w:t>
      </w:r>
      <w:r>
        <w:rPr>
          <w:rtl w:val="true"/>
        </w:rPr>
        <w:t xml:space="preserve">. </w:t>
      </w:r>
      <w:r>
        <w:rPr>
          <w:rtl w:val="true"/>
        </w:rPr>
        <w:t>כך גם המחוקק</w:t>
      </w:r>
      <w:r>
        <w:rPr>
          <w:rtl w:val="true"/>
        </w:rPr>
        <w:t xml:space="preserve">, </w:t>
      </w:r>
      <w:r>
        <w:rPr>
          <w:rtl w:val="true"/>
        </w:rPr>
        <w:t>בהצעת תיקון החוק בה ביקש לעגן באופן חריג עונשים מזעריים בעבירות 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הפנתה המאשימה לאסופת פסקי דין מטעמה בעבירות דומות</w:t>
      </w:r>
      <w:r>
        <w:rPr>
          <w:rtl w:val="true"/>
        </w:rPr>
        <w:t xml:space="preserve">, </w:t>
      </w:r>
      <w:r>
        <w:rPr>
          <w:rtl w:val="true"/>
        </w:rPr>
        <w:t>כן עמדה על מגמת ההחמרה בענישה המשתקפת לאחרונה בפסיקת בית המשפט העליון</w:t>
      </w:r>
      <w:r>
        <w:rPr>
          <w:rtl w:val="true"/>
        </w:rPr>
        <w:t xml:space="preserve">. </w:t>
      </w:r>
      <w:r>
        <w:rPr>
          <w:rtl w:val="true"/>
        </w:rPr>
        <w:t>בנוסף עמדה המאשימה על הנסיבות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ב</w:t>
      </w:r>
      <w:bookmarkStart w:id="42" w:name="Seif50"/>
      <w:r>
        <w:rPr>
          <w:rtl w:val="true"/>
        </w:rPr>
        <w:t>כלל זה</w:t>
      </w:r>
      <w:bookmarkEnd w:id="42"/>
      <w:r>
        <w:rPr>
          <w:rtl w:val="true"/>
        </w:rPr>
        <w:t xml:space="preserve">, </w:t>
      </w:r>
      <w:r>
        <w:rPr>
          <w:rtl w:val="true"/>
        </w:rPr>
        <w:t xml:space="preserve">התכנון שקדם לביצוע העבירות אשר </w:t>
      </w:r>
      <w:bookmarkStart w:id="43" w:name="Seif51"/>
      <w:r>
        <w:rPr>
          <w:rtl w:val="true"/>
        </w:rPr>
        <w:t xml:space="preserve">כלל קשירת </w:t>
      </w:r>
      <w:bookmarkEnd w:id="43"/>
      <w:r>
        <w:rPr>
          <w:rtl w:val="true"/>
        </w:rPr>
        <w:t>קשר עם אחרים ותיאום עם גורם  מחוץ למדינה</w:t>
      </w:r>
      <w:r>
        <w:rPr>
          <w:rtl w:val="true"/>
        </w:rPr>
        <w:t xml:space="preserve">, </w:t>
      </w:r>
      <w:r>
        <w:rPr>
          <w:rtl w:val="true"/>
        </w:rPr>
        <w:t>את חלקו המרכזי של הנאשם בביצוע העבירות</w:t>
      </w:r>
      <w:r>
        <w:rPr>
          <w:rtl w:val="true"/>
        </w:rPr>
        <w:t xml:space="preserve">. </w:t>
      </w:r>
      <w:r>
        <w:rPr>
          <w:rtl w:val="true"/>
        </w:rPr>
        <w:t>כן עמדה המאשימה על הנזק שהיה צפוי להיגרם מייבוא כמות כה גדולה של כלי נשק שיכלו להוות תשתית למגוון רחב של עבירות</w:t>
      </w:r>
      <w:r>
        <w:rPr>
          <w:rtl w:val="true"/>
        </w:rPr>
        <w:t xml:space="preserve">, </w:t>
      </w:r>
      <w:r>
        <w:rPr>
          <w:rtl w:val="true"/>
        </w:rPr>
        <w:t>החל בעבירות איומים</w:t>
      </w:r>
      <w:r>
        <w:rPr>
          <w:rtl w:val="true"/>
        </w:rPr>
        <w:t xml:space="preserve">, </w:t>
      </w:r>
      <w:r>
        <w:rPr>
          <w:rtl w:val="true"/>
        </w:rPr>
        <w:t>שוד מזוין ועבירות אלימות חמורות ובהן מעשי רצח</w:t>
      </w:r>
      <w:r>
        <w:rPr>
          <w:rtl w:val="true"/>
        </w:rPr>
        <w:t xml:space="preserve">, </w:t>
      </w:r>
      <w:r>
        <w:rPr>
          <w:rtl w:val="true"/>
        </w:rPr>
        <w:t>להם אנו עדים לאחרונה</w:t>
      </w:r>
      <w:r>
        <w:rPr>
          <w:rtl w:val="true"/>
        </w:rPr>
        <w:t xml:space="preserve">. </w:t>
      </w:r>
      <w:r>
        <w:rPr>
          <w:rtl w:val="true"/>
        </w:rPr>
        <w:t>בנוסף עמדה המאשימה אגב טיעוניה</w:t>
      </w:r>
      <w:r>
        <w:rPr>
          <w:rtl w:val="true"/>
        </w:rPr>
        <w:t xml:space="preserve">, </w:t>
      </w:r>
      <w:r>
        <w:rPr>
          <w:rtl w:val="true"/>
        </w:rPr>
        <w:t>על גילו של הנאשם ועובדת היותו בגיר המבין היטב את אשר הוא עושה ואת הפסול שבמעשיו ויכולתו להימנע מביצוע המעשה בכל שלב</w:t>
      </w:r>
      <w:r>
        <w:rPr>
          <w:rtl w:val="true"/>
        </w:rPr>
        <w:t xml:space="preserve">, </w:t>
      </w:r>
      <w:r>
        <w:rPr>
          <w:rtl w:val="true"/>
        </w:rPr>
        <w:t>החל משלב קשירת הקשר ועד לנסיעתו למקום המסתור לקבלת כלי 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המאשימה סברה כי בשים לב לרמת הענישה המקובלת בעבירות נשק</w:t>
      </w:r>
      <w:r>
        <w:rPr>
          <w:rtl w:val="true"/>
        </w:rPr>
        <w:t xml:space="preserve">, </w:t>
      </w:r>
      <w:r>
        <w:rPr>
          <w:rtl w:val="true"/>
        </w:rPr>
        <w:t>לנסיבות ביצוע העבירות ולעובדה כי מדובר בעבירת הברחה ברף הגבוה מאוד</w:t>
      </w:r>
      <w:r>
        <w:rPr>
          <w:rtl w:val="true"/>
        </w:rPr>
        <w:t xml:space="preserve">, </w:t>
      </w:r>
      <w:r>
        <w:rPr>
          <w:rtl w:val="true"/>
        </w:rPr>
        <w:t xml:space="preserve">נע מתחם העונש ההולם בין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טרם קביעת עונשו של הנאשם בתוך המתחם</w:t>
      </w:r>
      <w:r>
        <w:rPr>
          <w:rtl w:val="true"/>
        </w:rPr>
        <w:t xml:space="preserve">, </w:t>
      </w:r>
      <w:r>
        <w:rPr>
          <w:rtl w:val="true"/>
        </w:rPr>
        <w:t>עמדה המאשימה על הנסיבות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תוך שהדגישה כי מתסקיר שירות המבחן שהוגש בעניינו של הנאשם</w:t>
      </w:r>
      <w:r>
        <w:rPr>
          <w:rtl w:val="true"/>
        </w:rPr>
        <w:t xml:space="preserve">, </w:t>
      </w:r>
      <w:r>
        <w:rPr>
          <w:rtl w:val="true"/>
        </w:rPr>
        <w:t>למדים כי הוא לוקח אך אחריות פורמאלית על ביצוע העבירות ומפחית מהאחריות שלו באופן דרמטי</w:t>
      </w:r>
      <w:r>
        <w:rPr>
          <w:rtl w:val="true"/>
        </w:rPr>
        <w:t xml:space="preserve">, </w:t>
      </w:r>
      <w:r>
        <w:rPr>
          <w:rtl w:val="true"/>
        </w:rPr>
        <w:t>באופן הסותר את העובדות בהן הודה</w:t>
      </w:r>
      <w:r>
        <w:rPr>
          <w:rtl w:val="true"/>
        </w:rPr>
        <w:t xml:space="preserve">.  </w:t>
      </w:r>
      <w:r>
        <w:rPr>
          <w:rtl w:val="true"/>
        </w:rPr>
        <w:t>כן הדגישה כי שירות המבחן קבע כי קיים סיכון להישנות ביצוע עבירות דומות בעתיד ונמנע בשל כך מלבוא בהמלצה טיפולית במסגרת הקהילה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ציינה המאשימה כי אומנם</w:t>
      </w:r>
      <w:r>
        <w:rPr>
          <w:rtl w:val="true"/>
        </w:rPr>
        <w:t xml:space="preserve">, </w:t>
      </w:r>
      <w:r>
        <w:rPr>
          <w:rtl w:val="true"/>
        </w:rPr>
        <w:t>הודה הנאשם בכתב האישום</w:t>
      </w:r>
      <w:r>
        <w:rPr>
          <w:rtl w:val="true"/>
        </w:rPr>
        <w:t xml:space="preserve">, </w:t>
      </w:r>
      <w:r>
        <w:rPr>
          <w:rtl w:val="true"/>
        </w:rPr>
        <w:t>אך הוא עשה כן בשלב מאוחר של הההליך</w:t>
      </w:r>
      <w:r>
        <w:rPr>
          <w:rtl w:val="true"/>
        </w:rPr>
        <w:t xml:space="preserve">, </w:t>
      </w:r>
      <w:r>
        <w:rPr>
          <w:rtl w:val="true"/>
        </w:rPr>
        <w:t>הודיה שאינה מבטאת חרטה אלא ניהול סיכונים מחושב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אגב טיעוניה</w:t>
      </w:r>
      <w:r>
        <w:rPr>
          <w:rtl w:val="true"/>
        </w:rPr>
        <w:t xml:space="preserve">, </w:t>
      </w:r>
      <w:r>
        <w:rPr>
          <w:rtl w:val="true"/>
        </w:rPr>
        <w:t>ביקשה המאשימה לא לגזור גזירה שווה בין הנאשם לנאשמים האחרים שדינם נגזר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הנאשם היה הרוח החיה בביצוע העבירות</w:t>
      </w:r>
      <w:r>
        <w:rPr>
          <w:rtl w:val="true"/>
        </w:rPr>
        <w:t xml:space="preserve">, </w:t>
      </w:r>
      <w:r>
        <w:rPr>
          <w:rtl w:val="true"/>
        </w:rPr>
        <w:t>הוא זה שעמד בקשר עם הירדני</w:t>
      </w:r>
      <w:r>
        <w:rPr>
          <w:rtl w:val="true"/>
        </w:rPr>
        <w:t xml:space="preserve">, </w:t>
      </w:r>
      <w:r>
        <w:rPr>
          <w:rtl w:val="true"/>
        </w:rPr>
        <w:t>הוא זה שחזר למקום לבצע את העסקה עצמה</w:t>
      </w:r>
      <w:r>
        <w:rPr>
          <w:rtl w:val="true"/>
        </w:rPr>
        <w:t xml:space="preserve">, </w:t>
      </w:r>
      <w:r>
        <w:rPr>
          <w:rtl w:val="true"/>
        </w:rPr>
        <w:t>בשונה מנאשם מ</w:t>
      </w:r>
      <w:bookmarkStart w:id="44" w:name="Seif23"/>
      <w:r>
        <w:rPr>
          <w:rtl w:val="true"/>
        </w:rPr>
        <w:t>ס</w:t>
      </w:r>
      <w:r>
        <w:rPr>
          <w:rtl w:val="true"/>
        </w:rPr>
        <w:t xml:space="preserve">' </w:t>
      </w:r>
      <w:bookmarkEnd w:id="44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והוא זה אשר פנה לנאשם מ</w:t>
      </w:r>
      <w:bookmarkStart w:id="45" w:name="Seif24"/>
      <w:r>
        <w:rPr>
          <w:rtl w:val="true"/>
        </w:rPr>
        <w:t>ס</w:t>
      </w:r>
      <w:r>
        <w:rPr>
          <w:rtl w:val="true"/>
        </w:rPr>
        <w:t xml:space="preserve">' </w:t>
      </w:r>
      <w:bookmarkEnd w:id="45"/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ולנאשם מ</w:t>
      </w:r>
      <w:bookmarkStart w:id="46" w:name="Seif25"/>
      <w:r>
        <w:rPr>
          <w:rtl w:val="true"/>
        </w:rPr>
        <w:t>ס</w:t>
      </w:r>
      <w:r>
        <w:rPr>
          <w:rtl w:val="true"/>
        </w:rPr>
        <w:t xml:space="preserve">' </w:t>
      </w:r>
      <w:bookmarkEnd w:id="46"/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סמוך לביצוע העסקה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ביקשה המאשימה בהתחשב בכל אשר צוין לעיל ובצורך בהרתעת היחיד והרבים</w:t>
      </w:r>
      <w:r>
        <w:rPr>
          <w:rtl w:val="true"/>
        </w:rPr>
        <w:t xml:space="preserve">, </w:t>
      </w:r>
      <w:r>
        <w:rPr>
          <w:rtl w:val="true"/>
        </w:rPr>
        <w:t>למקם את עונשו של הנאשם במרכז מתחם העונש ההולם ולהטיל עליו לצד עונש המאסר</w:t>
      </w:r>
      <w:r>
        <w:rPr>
          <w:rtl w:val="true"/>
        </w:rPr>
        <w:t xml:space="preserve">, </w:t>
      </w:r>
      <w:r>
        <w:rPr>
          <w:rtl w:val="true"/>
        </w:rPr>
        <w:t>עונשים נלווים לרבות מאסר הצופה פני 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עתר בא כוח הנאשם שלא למצות את הדין עם מרשו ולהשוות את עונשו לעונשים שהוטלו על יתר המעורבים בפרשה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ביקש הסנגור להדגיש כי מחומר הראיות עולה בבירור מהות הקשר בין המעורבים בפרשה והעובדה כי מי שהיה הרוח החיה בפרשה הינו נאשם מ</w:t>
      </w:r>
      <w:bookmarkStart w:id="47" w:name="Seif26"/>
      <w:r>
        <w:rPr>
          <w:rtl w:val="true"/>
        </w:rPr>
        <w:t>ס</w:t>
      </w:r>
      <w:r>
        <w:rPr>
          <w:rtl w:val="true"/>
        </w:rPr>
        <w:t xml:space="preserve">' </w:t>
      </w:r>
      <w:bookmarkEnd w:id="47"/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עליו נגזרו חמש וחצי שנות מאסר</w:t>
      </w:r>
      <w:r>
        <w:rPr>
          <w:rtl w:val="true"/>
        </w:rPr>
        <w:t xml:space="preserve">. </w:t>
      </w:r>
      <w:r>
        <w:rPr>
          <w:rtl w:val="true"/>
        </w:rPr>
        <w:t>באשר לנסיבות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הפנה הסנגור לראיות לעונש ולדברי עדת האופי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 הסניגור לנכות את ימי המעצר של הנאשם ולהתחשב בתקופה הארוכה בה שהה הנאשם בחלופת מעצר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כאן המקום לציין כי בא</w:t>
      </w:r>
      <w:r>
        <w:rPr>
          <w:rtl w:val="true"/>
        </w:rPr>
        <w:t>-</w:t>
      </w:r>
      <w:r>
        <w:rPr>
          <w:rtl w:val="true"/>
        </w:rPr>
        <w:t>כוח הנאשם ניסה לטעון כי הנאשם כאן היה עושה דברו של הנאשם מ</w:t>
      </w:r>
      <w:bookmarkStart w:id="48" w:name="Seif27"/>
      <w:r>
        <w:rPr>
          <w:rtl w:val="true"/>
        </w:rPr>
        <w:t>ס</w:t>
      </w:r>
      <w:r>
        <w:rPr>
          <w:rtl w:val="true"/>
        </w:rPr>
        <w:t xml:space="preserve">' </w:t>
      </w:r>
      <w:bookmarkEnd w:id="48"/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ניסיון שהמדינה התנגדה לו מאחר והוא סותר את עובדות כתב האישום בהן הודה הנאשם</w:t>
      </w:r>
      <w:r>
        <w:rPr>
          <w:rtl w:val="true"/>
        </w:rPr>
        <w:t xml:space="preserve">. </w:t>
      </w:r>
      <w:r>
        <w:rPr>
          <w:rtl w:val="true"/>
        </w:rPr>
        <w:t>משהתקבלה עמדת המדינה</w:t>
      </w:r>
      <w:r>
        <w:rPr>
          <w:rtl w:val="true"/>
        </w:rPr>
        <w:t xml:space="preserve">, </w:t>
      </w:r>
      <w:r>
        <w:rPr>
          <w:rtl w:val="true"/>
        </w:rPr>
        <w:t>נמנעה ההגנה מלהמשיך בטיעון לעונש וכל ניסיונות בית המשפט להפציר בסניגור להשלים את טיעוניו לא עלו יפה</w:t>
      </w:r>
      <w:r>
        <w:rPr>
          <w:rtl w:val="true"/>
        </w:rPr>
        <w:t xml:space="preserve">. </w:t>
      </w:r>
      <w:r>
        <w:rPr>
          <w:rtl w:val="true"/>
        </w:rPr>
        <w:t>הסניגור הפנה לתסקיר המעיד על נסיבותיו האישיות של הנאשם וניסיון השיקום שלו ונמנע מלהוסיף</w:t>
      </w:r>
      <w:r>
        <w:rPr>
          <w:rtl w:val="true"/>
        </w:rPr>
        <w:t xml:space="preserve">. </w:t>
      </w:r>
      <w:r>
        <w:rPr>
          <w:rtl w:val="true"/>
        </w:rPr>
        <w:t>בהמשך ביקש לנכות את ימי המעצר של הנאשם מכל עונש שיוטל</w:t>
      </w:r>
      <w:r>
        <w:rPr>
          <w:rtl w:val="true"/>
        </w:rPr>
        <w:t xml:space="preserve">. </w:t>
      </w:r>
      <w:r>
        <w:rPr>
          <w:rtl w:val="true"/>
        </w:rPr>
        <w:t>צר לי על התנהגות הסניגור והימנעותו מהשלמת טיעוניו לעונש כדבעי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דברי הנאשם לעונש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לניסיונות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חומרת העבירות </w:t>
      </w:r>
      <w:r>
        <w:rPr>
          <w:rFonts w:cs="Miriam" w:ascii="Miriam" w:hAnsi="Miriam"/>
          <w:rtl w:val="true"/>
        </w:rPr>
        <w:t xml:space="preserve">- </w:t>
      </w:r>
      <w:r>
        <w:rPr>
          <w:rFonts w:ascii="Miriam" w:hAnsi="Miriam" w:cs="Miriam"/>
          <w:rtl w:val="true"/>
        </w:rPr>
        <w:t>הערך החברתי שנפגע ומידת הפגיעה בו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וריבונותה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" (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נגד סמיר בסל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08.03.2017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התשתית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למגוון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>.."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4406/19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יונס סובח ואח</w:t>
      </w:r>
      <w:r>
        <w:rPr>
          <w:rFonts w:cs="Miriam" w:ascii="Miriam" w:hAnsi="Miriam"/>
          <w:rtl w:val="true"/>
        </w:rPr>
        <w:t xml:space="preserve">'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05.11.2019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Miriam" w:hAnsi="Miriam" w:cs="Miriam"/>
          <w:rtl w:val="true"/>
        </w:rPr>
        <w:t>עניין סובח</w:t>
      </w:r>
      <w:r>
        <w:rPr>
          <w:rFonts w:cs="Calibri" w:ascii="Calibri" w:hAnsi="Calibri"/>
          <w:rtl w:val="true"/>
        </w:rPr>
        <w:t xml:space="preserve">")).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מדיניות הענישה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2398/14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אלהזייל נגד 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08.07.2014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 w:before="0" w:after="160"/>
        <w:ind w:start="1418" w:end="1418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cs="Calibri" w:ascii="Calibri" w:hAnsi="Calibri"/>
          <w:rtl w:val="true"/>
        </w:rPr>
        <w:t>...</w:t>
      </w:r>
      <w:r>
        <w:rPr>
          <w:rFonts w:ascii="Calibri" w:hAnsi="Calibri" w:cs="Calibri"/>
          <w:rtl w:val="true"/>
        </w:rPr>
        <w:t>לזמינות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המציאות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בארצנו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הקלישאה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מדוייקת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,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>"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רכישת נשק</w:t>
      </w:r>
      <w:r>
        <w:rPr>
          <w:rtl w:val="true"/>
        </w:rPr>
        <w:t xml:space="preserve">, </w:t>
      </w:r>
      <w:r>
        <w:rPr>
          <w:rtl w:val="true"/>
        </w:rPr>
        <w:t>ניסיון לרכישת נשק</w:t>
      </w:r>
      <w:r>
        <w:rPr>
          <w:rtl w:val="true"/>
        </w:rPr>
        <w:t xml:space="preserve">, </w:t>
      </w:r>
      <w:r>
        <w:rPr>
          <w:rtl w:val="true"/>
        </w:rPr>
        <w:t>החזקת נשק</w:t>
      </w:r>
      <w:r>
        <w:rPr>
          <w:rtl w:val="true"/>
        </w:rPr>
        <w:t xml:space="preserve">, </w:t>
      </w:r>
      <w:r>
        <w:rPr>
          <w:rtl w:val="true"/>
        </w:rPr>
        <w:t>ניסיון להחזיק 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tl w:val="true"/>
        </w:rPr>
        <w:t xml:space="preserve">, </w:t>
      </w:r>
      <w:r>
        <w:rPr>
          <w:rtl w:val="true"/>
        </w:rPr>
        <w:t>הובלתו  וביצוע עסקאות בו</w:t>
      </w:r>
      <w:r>
        <w:rPr>
          <w:rtl w:val="true"/>
        </w:rPr>
        <w:t xml:space="preserve">, </w:t>
      </w:r>
      <w:r>
        <w:rPr>
          <w:rtl w:val="true"/>
        </w:rPr>
        <w:t xml:space="preserve">בידי מי שאינם מורשים </w:t>
      </w:r>
      <w:bookmarkStart w:id="49" w:name="Seif52"/>
      <w:r>
        <w:rPr>
          <w:rtl w:val="true"/>
        </w:rPr>
        <w:t xml:space="preserve">כלל להחזיק </w:t>
      </w:r>
      <w:bookmarkEnd w:id="49"/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מאפשרים לנשק לעשות דרכו לאותם עבריינים</w:t>
      </w:r>
      <w:r>
        <w:rPr>
          <w:rtl w:val="true"/>
        </w:rPr>
        <w:t xml:space="preserve">. </w:t>
      </w:r>
      <w:r>
        <w:rPr>
          <w:rtl w:val="true"/>
        </w:rPr>
        <w:t>אי לכך לצורך הרתעת ה</w:t>
      </w:r>
      <w:bookmarkStart w:id="50" w:name="Seif53"/>
      <w:r>
        <w:rPr>
          <w:rtl w:val="true"/>
        </w:rPr>
        <w:t xml:space="preserve">כלל מביצוע </w:t>
      </w:r>
      <w:bookmarkEnd w:id="50"/>
      <w:r>
        <w:rPr>
          <w:rtl w:val="true"/>
        </w:rPr>
        <w:t>עסקאות בנשק יש צורך בענישה  מחמירה על</w:t>
      </w:r>
      <w:r>
        <w:rPr>
          <w:rtl w:val="true"/>
        </w:rPr>
        <w:t>-</w:t>
      </w:r>
      <w:r>
        <w:rPr>
          <w:rtl w:val="true"/>
        </w:rPr>
        <w:t>מנת לשנות את מאזן הכדאיות של סוחרי הנשק ואלה המבקשים לרכוש או להחזיק נשק</w:t>
      </w:r>
      <w:r>
        <w:rPr>
          <w:rtl w:val="true"/>
        </w:rPr>
        <w:t xml:space="preserve">. </w:t>
      </w:r>
      <w:r>
        <w:rPr>
          <w:rtl w:val="true"/>
        </w:rPr>
        <w:t xml:space="preserve">לאחרונה חזר בית המשפט העליון והדגיש כי </w:t>
      </w:r>
      <w:r>
        <w:rPr>
          <w:spacing w:val="10"/>
          <w:rtl w:val="true"/>
        </w:rPr>
        <w:t>"...</w:t>
      </w:r>
      <w:r>
        <w:rPr>
          <w:spacing w:val="10"/>
          <w:rtl w:val="true"/>
        </w:rPr>
        <w:t>כ</w:t>
      </w:r>
      <w:bookmarkStart w:id="51" w:name="Seif44"/>
      <w:r>
        <w:rPr>
          <w:spacing w:val="10"/>
          <w:rtl w:val="true"/>
        </w:rPr>
        <w:t xml:space="preserve">חלק מתפקידו </w:t>
      </w:r>
      <w:bookmarkEnd w:id="51"/>
      <w:r>
        <w:rPr>
          <w:spacing w:val="10"/>
          <w:rtl w:val="true"/>
        </w:rPr>
        <w:t>של בית המשפט בביעורן של תופעות קשות אלו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 xml:space="preserve">קיימת חשיבות של ממש להטלת ענישה הולמת ומרתיעה </w:t>
      </w:r>
      <w:r>
        <w:rPr>
          <w:b/>
          <w:b/>
          <w:rtl w:val="true"/>
        </w:rPr>
        <w:t>על כל חוליות השרשרת העבריינית</w:t>
      </w:r>
      <w:r>
        <w:rPr>
          <w:spacing w:val="10"/>
          <w:rtl w:val="true"/>
        </w:rPr>
        <w:t xml:space="preserve"> – החל מיצרני או מבריחי הנשק הבלתי חוקי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דרך הסוחרים בו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ועד לאלו הנוטלים אותו לידם ועושים בו שימוש בלתי חוקי</w:t>
      </w:r>
      <w:r>
        <w:rPr>
          <w:spacing w:val="10"/>
          <w:rtl w:val="true"/>
        </w:rPr>
        <w:t>."(</w:t>
      </w:r>
      <w:r>
        <w:rPr>
          <w:spacing w:val="10"/>
          <w:rtl w:val="true"/>
        </w:rPr>
        <w:t xml:space="preserve">ראו </w:t>
      </w:r>
      <w:hyperlink r:id="rId12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u w:val="single"/>
          </w:rPr>
          <w:t>4456/21</w:t>
        </w:r>
      </w:hyperlink>
      <w:r>
        <w:rPr>
          <w:spacing w:val="10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 xml:space="preserve">מדינת ישראל נגד מוחמד אבו עבסה </w:t>
      </w:r>
      <w:r>
        <w:rPr>
          <w:spacing w:val="10"/>
          <w:rtl w:val="true"/>
        </w:rPr>
        <w:t>(</w:t>
      </w:r>
      <w:r>
        <w:rPr>
          <w:spacing w:val="10"/>
        </w:rPr>
        <w:t>23.01.2022</w:t>
      </w:r>
      <w:r>
        <w:rPr>
          <w:spacing w:val="10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באותו עניין הוסיף בית המשפט וציין כי </w:t>
      </w:r>
      <w:r>
        <w:rPr>
          <w:rtl w:val="true"/>
        </w:rPr>
        <w:t>"</w:t>
      </w:r>
      <w:r>
        <w:rPr>
          <w:rtl w:val="true"/>
        </w:rPr>
        <w:t>אף המחוקק נתן דעתו לצורך בהחמרה בענישה לאלו המורשעים בעבירות נשק</w:t>
      </w:r>
      <w:r>
        <w:rPr>
          <w:rtl w:val="true"/>
        </w:rPr>
        <w:t xml:space="preserve">, </w:t>
      </w:r>
      <w:r>
        <w:rPr>
          <w:rtl w:val="true"/>
        </w:rPr>
        <w:t>וזאת במסגרת קביעתו מהעת האחרונה</w:t>
      </w:r>
      <w:r>
        <w:rPr>
          <w:rtl w:val="true"/>
        </w:rPr>
        <w:t>, ...</w:t>
      </w:r>
      <w:r>
        <w:rPr>
          <w:rtl w:val="true"/>
        </w:rPr>
        <w:t>בתיקון מ</w:t>
      </w:r>
      <w:bookmarkStart w:id="52" w:name="Seif28"/>
      <w:r>
        <w:rPr>
          <w:rtl w:val="true"/>
        </w:rPr>
        <w:t>ס</w:t>
      </w:r>
      <w:r>
        <w:rPr>
          <w:rtl w:val="true"/>
        </w:rPr>
        <w:t xml:space="preserve">' </w:t>
      </w:r>
      <w:bookmarkEnd w:id="52"/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</w:t>
      </w:r>
      <w:bookmarkStart w:id="53" w:name="Seif29"/>
      <w:r>
        <w:rPr>
          <w:rtl w:val="true"/>
        </w:rPr>
        <w:t>ס</w:t>
      </w:r>
      <w:r>
        <w:rPr>
          <w:rtl w:val="true"/>
        </w:rPr>
        <w:t xml:space="preserve">' </w:t>
      </w:r>
      <w:bookmarkEnd w:id="53"/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 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2938</w:t>
      </w:r>
      <w:r>
        <w:rPr>
          <w:rtl w:val="true"/>
        </w:rPr>
        <w:t xml:space="preserve">). </w:t>
      </w:r>
      <w:r>
        <w:rPr>
          <w:rtl w:val="true"/>
        </w:rPr>
        <w:t>בהוראת שעה זו</w:t>
      </w:r>
      <w:r>
        <w:rPr>
          <w:rtl w:val="true"/>
        </w:rPr>
        <w:t xml:space="preserve">, </w:t>
      </w:r>
      <w:r>
        <w:rPr>
          <w:rtl w:val="true"/>
        </w:rPr>
        <w:t>המחוקק ראה לעגן באופן חריג עונשים מזעריים</w:t>
      </w:r>
      <w:r>
        <w:rPr>
          <w:rtl w:val="true"/>
        </w:rPr>
        <w:t xml:space="preserve">, </w:t>
      </w:r>
      <w:r>
        <w:rPr>
          <w:rtl w:val="true"/>
        </w:rPr>
        <w:t>בקביעתו כי העונש שיוטל על אדם שהורשע בעבירות מסוימות הנוגעות להחזקת</w:t>
      </w:r>
      <w:r>
        <w:rPr>
          <w:rtl w:val="true"/>
        </w:rPr>
        <w:t xml:space="preserve">, </w:t>
      </w:r>
      <w:r>
        <w:rPr>
          <w:rtl w:val="true"/>
        </w:rPr>
        <w:t>הובלת או רכישת נשק שלא כדין</w:t>
      </w:r>
      <w:r>
        <w:rPr>
          <w:rtl w:val="true"/>
        </w:rPr>
        <w:t>: '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יפחת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עונשו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מרבע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המרבי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שנקבע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אלא אם כן החליט בית המשפט</w:t>
      </w:r>
      <w:r>
        <w:rPr>
          <w:rtl w:val="true"/>
        </w:rPr>
        <w:t xml:space="preserve">, </w:t>
      </w:r>
      <w:r>
        <w:rPr>
          <w:rtl w:val="true"/>
        </w:rPr>
        <w:t>מטעמים מיוחדים שיירשמו</w:t>
      </w:r>
      <w:r>
        <w:rPr>
          <w:rtl w:val="true"/>
        </w:rPr>
        <w:t xml:space="preserve">, </w:t>
      </w:r>
      <w:r>
        <w:rPr>
          <w:rtl w:val="true"/>
        </w:rPr>
        <w:t>להקל בעונשו</w:t>
      </w:r>
      <w:r>
        <w:rPr>
          <w:rtl w:val="true"/>
        </w:rPr>
        <w:t xml:space="preserve">; ...' ". </w:t>
      </w:r>
      <w:r>
        <w:rPr>
          <w:rtl w:val="true"/>
        </w:rPr>
        <w:t>יודגש כי תיקון זה אינו חל בענייננו</w:t>
      </w:r>
      <w:r>
        <w:rPr>
          <w:rtl w:val="true"/>
        </w:rPr>
        <w:t xml:space="preserve">, </w:t>
      </w:r>
      <w:r>
        <w:rPr>
          <w:rtl w:val="true"/>
        </w:rPr>
        <w:t>ברם הוא מלמד על מגמה ודרך שהמחוקק מתווה</w:t>
      </w:r>
      <w:r>
        <w:rPr>
          <w:rtl w:val="true"/>
        </w:rPr>
        <w:t xml:space="preserve">, </w:t>
      </w:r>
      <w:r>
        <w:rPr>
          <w:rtl w:val="true"/>
        </w:rPr>
        <w:t>וזאת בצירוף למדיניות המחמירה שבית המשפט העליון מוביל מזה שנים רבות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Times New Roman" w:hAnsi="Times New Roman" w:cs="Times New Roman"/>
          <w:lang w:val="en-IL" w:eastAsia="en-IL"/>
        </w:rPr>
      </w:pPr>
      <w:r>
        <w:rPr>
          <w:rFonts w:cs="Times New Roman" w:ascii="Times New Roman" w:hAnsi="Times New Roman"/>
          <w:rtl w:val="true"/>
          <w:lang w:val="en-IL" w:eastAsia="en-IL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סקירת מדיניות הענישה הנהוגה בעבירות בהן הורשע הנאשם מלמדת על טווח ענישה רחב התלוי לרוב בנסיבותיו של כל מקרה ומקרה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54338-03-21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נגד אבו חטאב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10.02.2022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/>
      </w:pP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4477/98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נגד אחמד טאהא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וערעור שכנגד 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4609/98</w:t>
        </w:r>
      </w:hyperlink>
      <w:r>
        <w:rPr>
          <w:rtl w:val="true"/>
        </w:rPr>
        <w:t>) (</w:t>
      </w:r>
      <w:r>
        <w:rPr/>
        <w:t>01.07.2009</w:t>
      </w:r>
      <w:r>
        <w:rPr>
          <w:rtl w:val="true"/>
        </w:rPr>
        <w:t xml:space="preserve">)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הורשע על ידי בית המשפט המחוזי בנצרת בעבירות רבות של סחר בנשק</w:t>
      </w:r>
      <w:r>
        <w:rPr>
          <w:rtl w:val="true"/>
        </w:rPr>
        <w:t xml:space="preserve">, </w:t>
      </w:r>
      <w:r>
        <w:rPr>
          <w:rtl w:val="true"/>
        </w:rPr>
        <w:t>הובלת נשק והחזקת נשק</w:t>
      </w:r>
      <w:r>
        <w:rPr>
          <w:rtl w:val="true"/>
        </w:rPr>
        <w:t xml:space="preserve">, </w:t>
      </w:r>
      <w:r>
        <w:rPr>
          <w:rtl w:val="true"/>
        </w:rPr>
        <w:t>לאחר שרכש ממספר תושבים באזור יהודה ושומרון</w:t>
      </w:r>
      <w:r>
        <w:rPr>
          <w:rtl w:val="true"/>
        </w:rPr>
        <w:t xml:space="preserve">, </w:t>
      </w:r>
      <w:r>
        <w:rPr>
          <w:rtl w:val="true"/>
        </w:rPr>
        <w:t>במספר הזדמנויות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כלי נשק בהם תת</w:t>
      </w:r>
      <w:r>
        <w:rPr>
          <w:rtl w:val="true"/>
        </w:rPr>
        <w:t>-</w:t>
      </w:r>
      <w:r>
        <w:rPr>
          <w:rtl w:val="true"/>
        </w:rPr>
        <w:t>מקלע אחד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רובים 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וכן תחמושת לכלי הנשק</w:t>
      </w:r>
      <w:r>
        <w:rPr>
          <w:rtl w:val="true"/>
        </w:rPr>
        <w:t xml:space="preserve">, </w:t>
      </w:r>
      <w:r>
        <w:rPr>
          <w:rtl w:val="true"/>
        </w:rPr>
        <w:t>ומכר את כלי הנשק לתושבי כפרו ותושב של כפר סמוך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קיבל את ערעור המדינה והחמיר את עונשו של הנאשם מחמש שנות מאסר </w:t>
      </w:r>
      <w:r>
        <w:rPr>
          <w:b/>
          <w:b/>
          <w:bCs/>
          <w:rtl w:val="true"/>
        </w:rPr>
        <w:t>לשבע שנות מאסר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41228-03-18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cs="Miriam" w:ascii="Miriam" w:hAnsi="Miriam"/>
        </w:rPr>
        <w:t>frank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פרנק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08.04.2019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בקונסוליה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הקונסולרי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קונסולרי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הקונסוליה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לקונסוליה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הסיטרואן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קונסולרית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לרמאללה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  <w:color w:val="0000FF"/>
          <w:sz w:val="28"/>
          <w:szCs w:val="28"/>
          <w:u w:val="single"/>
        </w:rPr>
      </w:pP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8076-04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מוחמד בן סלמאן 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17.03.2005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שבמצרים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מצרים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הוברחו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color w:val="0000FF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  <w:color w:val="0000FF"/>
          <w:sz w:val="28"/>
          <w:szCs w:val="28"/>
          <w:u w:val="single"/>
        </w:rPr>
      </w:pPr>
      <w:r>
        <w:rPr>
          <w:rFonts w:cs="Calibri" w:ascii="Calibri" w:hAnsi="Calibri"/>
          <w:b/>
          <w:bCs/>
          <w:color w:val="0000FF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7519/08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טרבין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27.04.2009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ייבוא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בנוסף נעתר הנאשם להצעתו של תושב ישראל</w:t>
      </w:r>
      <w:r>
        <w:rPr>
          <w:rtl w:val="true"/>
        </w:rPr>
        <w:t xml:space="preserve">, </w:t>
      </w:r>
      <w:r>
        <w:rPr>
          <w:rtl w:val="true"/>
        </w:rPr>
        <w:t xml:space="preserve">להוביל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של סם מסוכן מסוג הרואין</w:t>
      </w:r>
      <w:r>
        <w:rPr>
          <w:rtl w:val="true"/>
        </w:rPr>
        <w:t xml:space="preserve">, </w:t>
      </w:r>
      <w:r>
        <w:rPr>
          <w:rtl w:val="true"/>
        </w:rPr>
        <w:t>כאשר את הסם היו אמורים הנאשם ושותף נוסף להעביר מירדן</w:t>
      </w:r>
      <w:r>
        <w:rPr>
          <w:rtl w:val="true"/>
        </w:rPr>
        <w:t xml:space="preserve">. </w:t>
      </w:r>
      <w:r>
        <w:rPr>
          <w:rtl w:val="true"/>
        </w:rPr>
        <w:t>הנאשם אף חדר לשטח ישראל שלא כדין</w:t>
      </w:r>
      <w:r>
        <w:rPr>
          <w:rtl w:val="true"/>
        </w:rPr>
        <w:t xml:space="preserve">, </w:t>
      </w:r>
      <w:r>
        <w:rPr>
          <w:rtl w:val="true"/>
        </w:rPr>
        <w:t>אולם כוונתו לחצות את הגבול עם ירדן סוכלה עקב נוכחותם של כוחות צבא באזור</w:t>
      </w:r>
      <w:r>
        <w:rPr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39675-11-20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טראבין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07.09.2022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מאורגנת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ושיטתית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וחייבה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</w:rPr>
        <w:t>11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ותשעה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נסיבות הקשורות בביצוע העבירה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ובקפידה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הירדני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bookmarkStart w:id="54" w:name="Seif30"/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bookmarkEnd w:id="54"/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ההברחה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 להתעלם מהעובדה כי הייבוא של כלי הנשק יצא אל הפועל ונזק רב עלול היה להיגרם ממעשי העבירה שבוצעו</w:t>
      </w:r>
      <w:r>
        <w:rPr>
          <w:rtl w:val="true"/>
        </w:rPr>
        <w:t xml:space="preserve">, </w:t>
      </w:r>
      <w:r>
        <w:rPr>
          <w:rtl w:val="true"/>
        </w:rPr>
        <w:t>לולא תפסו כוחות המשטרה את הנשק</w:t>
      </w:r>
      <w:r>
        <w:rPr>
          <w:rtl w:val="true"/>
        </w:rPr>
        <w:t xml:space="preserve">. </w:t>
      </w:r>
      <w:r>
        <w:rPr>
          <w:rtl w:val="true"/>
        </w:rPr>
        <w:t>כאן המקום לציין כי אנו עדים בתקופה האחרונה לריבוי מקרי ירי בנשק ומקרי אלימות קשים המבוצעים בנשק ואין חולק כי מעשי הנאשם יכלו לגרום לנזק בל ישוער</w:t>
      </w:r>
      <w:r>
        <w:rPr>
          <w:rtl w:val="true"/>
        </w:rPr>
        <w:t xml:space="preserve">, </w:t>
      </w:r>
      <w:r>
        <w:rPr>
          <w:rtl w:val="true"/>
        </w:rPr>
        <w:t>לו הנשק</w:t>
      </w:r>
      <w:r>
        <w:rPr>
          <w:rtl w:val="true"/>
        </w:rPr>
        <w:t xml:space="preserve">, </w:t>
      </w:r>
      <w:r>
        <w:rPr>
          <w:rtl w:val="true"/>
        </w:rPr>
        <w:t>שייבא  הנאשם</w:t>
      </w:r>
      <w:r>
        <w:rPr>
          <w:rtl w:val="true"/>
        </w:rPr>
        <w:t xml:space="preserve">, </w:t>
      </w:r>
      <w:r>
        <w:rPr>
          <w:rtl w:val="true"/>
        </w:rPr>
        <w:t>היה מגיע לידיים עברייניות</w:t>
      </w:r>
      <w:r>
        <w:rPr>
          <w:rtl w:val="true"/>
        </w:rPr>
        <w:t xml:space="preserve">, </w:t>
      </w:r>
      <w:r>
        <w:rPr>
          <w:rtl w:val="true"/>
        </w:rPr>
        <w:t>בעיקר עת מדובר בכמות גדולה מאוד של כלי נשק שטמונה בהם סכנה עצומה לשלום הציבור ובטחונו</w:t>
      </w:r>
      <w:r>
        <w:rPr>
          <w:rtl w:val="true"/>
        </w:rPr>
        <w:t xml:space="preserve">. </w:t>
      </w:r>
      <w:r>
        <w:rPr>
          <w:rtl w:val="true"/>
        </w:rPr>
        <w:t>נתתי את דעתי לסוג הנשק ולכמות וכן לעזות המצח של הנאשם אשר תכנן וביצע ייבא נשק זה ממדינה אחרת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ההדרגתית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נסיבות שאינן קשורות בביצוע העבירה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בחריגת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bookmarkStart w:id="55" w:name="Seif54"/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וניסה</w:t>
      </w:r>
      <w:r>
        <w:rPr>
          <w:rFonts w:ascii="Calibri" w:hAnsi="Calibri" w:cs="Calibri"/>
          <w:rtl w:val="true"/>
        </w:rPr>
        <w:t xml:space="preserve"> </w:t>
      </w:r>
      <w:bookmarkEnd w:id="55"/>
      <w:r>
        <w:rPr>
          <w:rFonts w:ascii="Calibri" w:hAnsi="Calibri" w:cs="Calibri"/>
          <w:rtl w:val="true"/>
        </w:rPr>
        <w:t>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לתפיסתו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bookmarkStart w:id="56" w:name="Seif31"/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bookmarkEnd w:id="56"/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bookmarkStart w:id="57" w:name="Seif1"/>
      <w:r>
        <w:rPr>
          <w:rFonts w:ascii="Calibri" w:hAnsi="Calibri" w:cs="Calibri"/>
          <w:rtl w:val="true"/>
        </w:rPr>
        <w:t>סעיפי</w:t>
      </w:r>
      <w:r>
        <w:rPr>
          <w:rFonts w:ascii="Calibri" w:hAnsi="Calibri" w:cs="Calibri"/>
          <w:rtl w:val="true"/>
        </w:rPr>
        <w:t xml:space="preserve"> </w:t>
      </w:r>
      <w:bookmarkEnd w:id="57"/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bookmarkStart w:id="58" w:name="Seif32"/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bookmarkEnd w:id="58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ייבוא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bookmarkStart w:id="59" w:name="Seif37"/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bookmarkEnd w:id="59"/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22">
        <w:bookmarkStart w:id="60" w:name="Seif38"/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bookmarkEnd w:id="60"/>
        <w:r>
          <w:rPr>
            <w:rStyle w:val="Hyperlink"/>
            <w:rFonts w:cs="Calibri" w:ascii="Calibri" w:hAnsi="Calibri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bookmarkStart w:id="61" w:name="Seif33"/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bookmarkEnd w:id="61"/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cs="Calibri" w:ascii="Calibri" w:hAnsi="Calibri"/>
          </w:rPr>
          <w:t>499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1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bookmarkStart w:id="62" w:name="Seif34"/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bookmarkEnd w:id="62"/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ייבוא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26">
        <w:bookmarkStart w:id="63" w:name="Seif39"/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bookmarkEnd w:id="63"/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27">
        <w:bookmarkStart w:id="64" w:name="Seif40"/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bookmarkEnd w:id="64"/>
        <w:r>
          <w:rPr>
            <w:rStyle w:val="Hyperlink"/>
            <w:rFonts w:cs="Calibri" w:ascii="Calibri" w:hAnsi="Calibri"/>
          </w:rPr>
          <w:t>25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Miriam"/>
        </w:rPr>
      </w:pPr>
      <w:r>
        <w:rPr>
          <w:rFonts w:ascii="Calibri" w:hAnsi="Calibri" w:cs="Miriam"/>
          <w:rtl w:val="true"/>
        </w:rPr>
        <w:t>הרתעת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הרבים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שהתפשט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הישראלית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bookmarkStart w:id="65" w:name="Seif55"/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ובחברה</w:t>
      </w:r>
      <w:r>
        <w:rPr>
          <w:rFonts w:ascii="Calibri" w:hAnsi="Calibri" w:cs="Calibri"/>
          <w:rtl w:val="true"/>
        </w:rPr>
        <w:t xml:space="preserve"> </w:t>
      </w:r>
      <w:bookmarkEnd w:id="65"/>
      <w:r>
        <w:rPr>
          <w:rFonts w:ascii="Calibri" w:hAnsi="Calibri" w:cs="Calibri"/>
          <w:rtl w:val="true"/>
        </w:rPr>
        <w:t>הערבית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bookmarkStart w:id="66" w:name="Seif45"/>
      <w:r>
        <w:rPr>
          <w:rFonts w:ascii="Calibri" w:hAnsi="Calibri" w:cs="Calibri"/>
          <w:rtl w:val="true"/>
        </w:rPr>
        <w:t>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bookmarkEnd w:id="66"/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חדשות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והפצתם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הבינוני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העונש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לאור כל האמור לעיל ולאחר ששקלתי את מכלול השיקולים הרלוונטיים ונתתי את דעתי לנסיבות המקרה ולנסיבות העושה</w:t>
      </w:r>
      <w:r>
        <w:rPr>
          <w:rtl w:val="true"/>
        </w:rPr>
        <w:t xml:space="preserve">, </w:t>
      </w:r>
      <w:r>
        <w:rPr>
          <w:rtl w:val="true"/>
        </w:rPr>
        <w:t>אני דן את הנאשם לעונשים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אני מטיל על הנאשם </w:t>
      </w:r>
      <w:r>
        <w:rPr>
          <w:b/>
          <w:b/>
          <w:bCs/>
          <w:rtl w:val="true"/>
        </w:rPr>
        <w:t>מאסר בפועל של</w:t>
      </w:r>
      <w:r>
        <w:rPr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 וזאת בניכוי ימי מעצרו מיום </w:t>
      </w:r>
      <w:r>
        <w:rPr/>
        <w:t>18.4.2019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23.9.2020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  <w:t xml:space="preserve"> 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אני מטיל על הנאשם מאסר על תנאי של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שלא יעבור על העבירה בה הורשע או כל עבירת נשק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אני מטיל על הנאשם  קנס בסך </w:t>
      </w:r>
      <w:r>
        <w:rPr/>
        <w:t>100,000</w:t>
      </w:r>
      <w:r>
        <w:rPr>
          <w:rtl w:val="true"/>
        </w:rPr>
        <w:t xml:space="preserve"> ₪  </w:t>
      </w:r>
      <w:r>
        <w:rPr>
          <w:rtl w:val="true"/>
        </w:rPr>
        <w:t xml:space="preserve">או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תוך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לידיעת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החוב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הקנס והפיצוי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מועברים למרכז לגביית קנסות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אגרות והוצאות ברשות האכיפה והגבייה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למועדים והתשלומים שקבע בית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ניתן יהיה לשלם את הקנס כעבור שלושה ימים מיום מתן  גזר הדין לחשבון המרכז לגביית קנסות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Spacing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David" w:ascii="David" w:hAnsi="David"/>
            <w:b/>
            <w:bCs/>
            <w:i/>
            <w:iCs/>
            <w:sz w:val="24"/>
            <w:szCs w:val="24"/>
          </w:rPr>
          <w:t>www.eca.gov.il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מרכז גבייה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 –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בטלפון </w:t>
      </w:r>
      <w:r>
        <w:rPr>
          <w:rFonts w:cs="David" w:ascii="David" w:hAnsi="David"/>
          <w:b/>
          <w:bCs/>
          <w:sz w:val="24"/>
          <w:szCs w:val="24"/>
        </w:rPr>
        <w:t>35592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*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4"/>
          <w:szCs w:val="24"/>
        </w:rPr>
        <w:t>073-2055000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ascii="David" w:hAnsi="David" w:cs="David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צורך בשוברי תשלום</w:t>
      </w:r>
      <w:r>
        <w:rPr>
          <w:rFonts w:cs="David" w:ascii="David" w:hAnsi="David"/>
          <w:b/>
          <w:bCs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Style w:val="normal-h"/>
          <w:rFonts w:ascii="David" w:hAnsi="David"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לבית המשפט העליון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b/>
          <w:bCs/>
          <w:sz w:val="28"/>
          <w:szCs w:val="28"/>
          <w:u w:val="single"/>
          <w:lang w:val="en-IL" w:eastAsia="en-IL"/>
        </w:rPr>
      </w:pPr>
      <w:r>
        <w:rPr>
          <w:rFonts w:cs="FrankRuehl" w:ascii="Times New Roman" w:hAnsi="Times New Roman"/>
          <w:b/>
          <w:bCs/>
          <w:sz w:val="28"/>
          <w:szCs w:val="28"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FrankRuehl"/>
          <w:sz w:val="28"/>
          <w:szCs w:val="28"/>
          <w:lang w:val="en-IL" w:eastAsia="en-IL"/>
        </w:rPr>
      </w:pPr>
      <w:r>
        <w:rPr>
          <w:rFonts w:cs="FrankRuehl" w:ascii="Times New Roman" w:hAnsi="Times New Roman"/>
          <w:sz w:val="28"/>
          <w:szCs w:val="28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ניתנה והודעה היום 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חשוון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24/11/2022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1828800" cy="390525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20" t="-92" r="-20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90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חנא סבאג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color w:val="000000"/>
          <w:u w:val="single"/>
          <w:rtl w:val="true"/>
        </w:rPr>
        <w:t>הסנגור</w:t>
      </w:r>
      <w:r>
        <w:rPr>
          <w:rFonts w:cs="Arial" w:ascii="Arial" w:hAnsi="Arial"/>
          <w:b/>
          <w:bCs/>
          <w:color w:val="000000"/>
          <w:rtl w:val="true"/>
        </w:rPr>
        <w:t xml:space="preserve">: </w:t>
      </w:r>
      <w:r>
        <w:rPr>
          <w:rFonts w:ascii="Arial" w:hAnsi="Arial" w:cs="Arial"/>
          <w:color w:val="000000"/>
          <w:rtl w:val="true"/>
        </w:rPr>
        <w:t xml:space="preserve">מבקש עיכוב ביצוע רכיב המאסר בפועל למשך </w:t>
      </w:r>
      <w:r>
        <w:rPr>
          <w:rFonts w:cs="Arial" w:ascii="Arial" w:hAnsi="Arial"/>
          <w:color w:val="000000"/>
        </w:rPr>
        <w:t>45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יום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אשתו של הנאשם אמורה ללדת בשבועיים הקרובים והוא רוצה להיות איתה גם אימו אמורה לעבור ניתוח לא פשוט בתחילת חודש דצמבר</w:t>
      </w:r>
      <w:r>
        <w:rPr>
          <w:rFonts w:cs="Arial" w:ascii="Arial" w:hAnsi="Arial"/>
          <w:color w:val="000000"/>
          <w:rtl w:val="true"/>
        </w:rPr>
        <w:t xml:space="preserve">.  </w:t>
      </w:r>
      <w:r>
        <w:rPr>
          <w:rFonts w:ascii="Arial" w:hAnsi="Arial" w:cs="Arial"/>
          <w:color w:val="000000"/>
          <w:rtl w:val="true"/>
        </w:rPr>
        <w:t>מדובר בהריון בסיכון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הנאשם נמצא בתנאים מגבילים כמעט שנתיים ללא דופי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מבקש להתחשב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מועד הלידה המשוער של אשתו הוא </w:t>
      </w:r>
      <w:r>
        <w:rPr>
          <w:rFonts w:cs="Arial" w:ascii="Arial" w:hAnsi="Arial"/>
          <w:color w:val="000000"/>
        </w:rPr>
        <w:t>6.12.2022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או </w:t>
      </w:r>
      <w:r>
        <w:rPr>
          <w:rFonts w:cs="Arial" w:ascii="Arial" w:hAnsi="Arial"/>
          <w:color w:val="000000"/>
        </w:rPr>
        <w:t>10.12.2022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/>
          <w:bCs/>
          <w:color w:val="000000"/>
          <w:u w:val="single"/>
          <w:rtl w:val="true"/>
        </w:rPr>
        <w:t>התובעת</w:t>
      </w:r>
      <w:r>
        <w:rPr>
          <w:rFonts w:cs="Arial" w:ascii="Arial" w:hAnsi="Arial"/>
          <w:b/>
          <w:bCs/>
          <w:color w:val="000000"/>
          <w:rtl w:val="true"/>
        </w:rPr>
        <w:t xml:space="preserve">: </w:t>
      </w:r>
      <w:r>
        <w:rPr>
          <w:rFonts w:ascii="Arial" w:hAnsi="Arial" w:cs="Arial"/>
          <w:color w:val="000000"/>
          <w:rtl w:val="true"/>
        </w:rPr>
        <w:t>מדובר בעונש חמור במיוחד שנגזר על הנאשם מתנגדים לעיכוב ביצוע של ענישה שכזאת</w:t>
      </w:r>
      <w:r>
        <w:rPr>
          <w:rFonts w:cs="Arial" w:ascii="Arial" w:hAnsi="Arial"/>
          <w:color w:val="000000"/>
          <w:rtl w:val="true"/>
        </w:rPr>
        <w:t>.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sz w:val="6"/>
          <w:szCs w:val="6"/>
        </w:rPr>
      </w:pPr>
      <w:r>
        <w:rPr>
          <w:rFonts w:cs="Arial" w:ascii="Arial" w:hAnsi="Arial"/>
          <w:b/>
          <w:bCs/>
          <w:color w:val="000000"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color w:val="000000"/>
          <w:sz w:val="6"/>
          <w:szCs w:val="6"/>
        </w:rPr>
        <w:t>#4#</w:t>
      </w:r>
      <w:r>
        <w:rPr>
          <w:rFonts w:cs="Arial" w:ascii="Arial" w:hAnsi="Arial"/>
          <w:b/>
          <w:bCs/>
          <w:color w:val="00000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בהתחשב בתקופת המאסר שהוטלה והעובדה שגזר הדין ניתן לאחר שהנאשם הודה והורשע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אינני רואה מקום לעכב ביצוע עונש המאסר שהוטל</w:t>
      </w:r>
      <w:r>
        <w:rPr>
          <w:rFonts w:cs="Arial" w:ascii="Arial" w:hAnsi="Arial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הבקשה נדחית</w:t>
      </w:r>
      <w:r>
        <w:rPr>
          <w:rFonts w:cs="Arial" w:ascii="Arial" w:hAnsi="Arial"/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67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חשוון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24/11/2022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67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חנא סבאג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שרה</w:t>
      </w:r>
      <w:r>
        <w:rPr>
          <w:rtl w:val="true"/>
        </w:rPr>
        <w:t xml:space="preserve"> </w:t>
      </w:r>
      <w:r>
        <w:rPr>
          <w:rtl w:val="true"/>
        </w:rPr>
        <w:t>זרביב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חנא סבאג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37871-05-19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חסן אבו מוך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7871-05-19"/>
    <w:docVar w:name="caseId" w:val="76455508"/>
    <w:docVar w:name="deriveClass" w:val="NGCS.Protocol.BL.Client.ProtocolBLClientCriminal"/>
    <w:docVar w:name="firstPageNumber" w:val="245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024743023@GOV.IL"/>
    <w:docVar w:name="privellegeId" w:val="1"/>
    <w:docVar w:name="protocolId" w:val="13051641"/>
    <w:docVar w:name="releaseSign" w:val="0"/>
    <w:docVar w:name="sittingDateTime" w:val="24/11/2022 12:00     "/>
    <w:docVar w:name="sittingId" w:val="94113628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HeaderChar">
    <w:name w:val="Header Char"/>
    <w:qFormat/>
    <w:rPr>
      <w:sz w:val="24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david-p">
    <w:name w:val="david-p"/>
    <w:basedOn w:val="Normal"/>
    <w:qFormat/>
    <w:pPr>
      <w:bidi w:val="0"/>
      <w:jc w:val="both"/>
    </w:pPr>
    <w:rPr>
      <w:rFonts w:ascii="Times New Roman" w:hAnsi="Times New Roman" w:eastAsia="David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2006503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13093744" TargetMode="External"/><Relationship Id="rId12" Type="http://schemas.openxmlformats.org/officeDocument/2006/relationships/hyperlink" Target="http://www.nevo.co.il/case/27734980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7500177" TargetMode="External"/><Relationship Id="rId15" Type="http://schemas.openxmlformats.org/officeDocument/2006/relationships/hyperlink" Target="http://www.nevo.co.il/case/5707013" TargetMode="External"/><Relationship Id="rId16" Type="http://schemas.openxmlformats.org/officeDocument/2006/relationships/hyperlink" Target="http://www.nevo.co.il/case/5707014" TargetMode="External"/><Relationship Id="rId17" Type="http://schemas.openxmlformats.org/officeDocument/2006/relationships/hyperlink" Target="http://www.nevo.co.il/case/23801336" TargetMode="External"/><Relationship Id="rId18" Type="http://schemas.openxmlformats.org/officeDocument/2006/relationships/hyperlink" Target="http://www.nevo.co.il/case/2237501" TargetMode="External"/><Relationship Id="rId19" Type="http://schemas.openxmlformats.org/officeDocument/2006/relationships/hyperlink" Target="http://www.nevo.co.il/case/5806087" TargetMode="External"/><Relationship Id="rId20" Type="http://schemas.openxmlformats.org/officeDocument/2006/relationships/hyperlink" Target="http://www.nevo.co.il/case/27162501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eca.gov.il/" TargetMode="External"/><Relationship Id="rId29" Type="http://schemas.openxmlformats.org/officeDocument/2006/relationships/image" Target="media/image1.png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2023-11-15T08:05:00Z</dcterms:created>
  <dc:creator> </dc:creator>
  <dc:description/>
  <cp:keywords/>
  <dc:language>en-IL</dc:language>
  <cp:lastModifiedBy>h1</cp:lastModifiedBy>
  <cp:lastPrinted>2022-11-24T12:27:00Z</cp:lastPrinted>
  <dcterms:modified xsi:type="dcterms:W3CDTF">2023-11-15T08:05:00Z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אבו מוך;מחמוד אבו סעדיה;אחמד אבו מוך;נור אלסאלם דקה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22006503;25824863;13093744;27734980;27500177;5707013;5707014;23801336;2237501;5806087;27162501</vt:lpwstr>
  </property>
  <property fmtid="{D5CDD505-2E9C-101B-9397-08002B2CF9AE}" pid="9" name="CITY">
    <vt:lpwstr>נצ'</vt:lpwstr>
  </property>
  <property fmtid="{D5CDD505-2E9C-101B-9397-08002B2CF9AE}" pid="10" name="DATE">
    <vt:lpwstr>20221124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חנא סבאג</vt:lpwstr>
  </property>
  <property fmtid="{D5CDD505-2E9C-101B-9397-08002B2CF9AE}" pid="14" name="LAWLISTTMP1">
    <vt:lpwstr>70301/144.b2:3;031;499.a.1;025</vt:lpwstr>
  </property>
  <property fmtid="{D5CDD505-2E9C-101B-9397-08002B2CF9AE}" pid="15" name="LAWYER">
    <vt:lpwstr>הדס קליין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37871</vt:lpwstr>
  </property>
  <property fmtid="{D5CDD505-2E9C-101B-9397-08002B2CF9AE}" pid="22" name="NEWPARTB">
    <vt:lpwstr>05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390020221124</vt:lpwstr>
  </property>
  <property fmtid="{D5CDD505-2E9C-101B-9397-08002B2CF9AE}" pid="34" name="TYPE_N_DATE">
    <vt:lpwstr>39020221124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