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3357"/>
        <w:gridCol w:w="2481"/>
        <w:gridCol w:w="84"/>
        <w:gridCol w:w="4"/>
      </w:tblGrid>
      <w:tr>
        <w:trPr>
          <w:trHeight w:val="418" w:hRule="exact"/>
        </w:trPr>
        <w:tc>
          <w:tcPr>
            <w:tcW w:w="8806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623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37900-06-22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אלבוייראת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569" w:type="dxa"/>
            <w:gridSpan w:val="2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  <w:fldChar w:fldCharType="begin"/>
            </w:r>
            <w:r>
              <w:rPr>
                <w:rtl w:val="true"/>
                <w:sz w:val="28"/>
                <w:szCs w:val="28"/>
                <w:rFonts w:cs="FrankRuehl"/>
              </w:rPr>
              <w:instrText xml:space="preserve"> DATE \@"dd\ MMMM\ yyyy" </w:instrTex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separate"/>
            </w:r>
            <w:r>
              <w:rPr>
                <w:rtl w:val="true"/>
                <w:sz w:val="28"/>
                <w:szCs w:val="28"/>
                <w:rFonts w:cs="FrankRuehl"/>
              </w:rPr>
              <w:t>08 אפריל 2025</w: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end"/>
            </w:r>
          </w:p>
        </w:tc>
      </w:tr>
      <w:tr>
        <w:trPr/>
        <w:tc>
          <w:tcPr>
            <w:tcW w:w="8718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: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אינאס סלאמה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  <w:tc>
          <w:tcPr>
            <w:tcW w:w="8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802" w:type="dxa"/>
            <w:gridSpan w:val="4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אלבוייראת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sz w:val="18"/>
                <w:szCs w:val="18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0"/>
                <w:szCs w:val="20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כ 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עו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ד עאדל בויראת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חדית אלבוריאת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בפיקוח אלקטרוני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0"/>
                <w:szCs w:val="20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כ 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עו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ד אחמד חמזה יונס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בוריאת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0"/>
                <w:szCs w:val="20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ד בדר אגבריה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480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spacing w:lineRule="auto" w:line="480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9" w:name="PsakDin"/>
      <w:bookmarkEnd w:id="9"/>
      <w:r>
        <w:rPr>
          <w:rFonts w:ascii="David" w:hAnsi="David"/>
          <w:b/>
          <w:b/>
          <w:bCs/>
          <w:sz w:val="30"/>
          <w:sz w:val="30"/>
          <w:szCs w:val="30"/>
          <w:rtl w:val="true"/>
        </w:rPr>
        <w:t xml:space="preserve">בעניינם של נאשמים </w:t>
      </w:r>
      <w:r>
        <w:rPr>
          <w:rFonts w:cs="David" w:ascii="David" w:hAnsi="David"/>
          <w:b/>
          <w:bCs/>
          <w:sz w:val="30"/>
          <w:szCs w:val="30"/>
        </w:rPr>
        <w:t>1</w:t>
      </w:r>
      <w:r>
        <w:rPr>
          <w:rFonts w:cs="David" w:ascii="David" w:hAnsi="David"/>
          <w:b/>
          <w:bCs/>
          <w:sz w:val="30"/>
          <w:szCs w:val="30"/>
          <w:rtl w:val="true"/>
        </w:rPr>
        <w:t xml:space="preserve"> </w:t>
      </w:r>
      <w:r>
        <w:rPr>
          <w:rFonts w:ascii="David" w:hAnsi="David"/>
          <w:b/>
          <w:b/>
          <w:bCs/>
          <w:sz w:val="30"/>
          <w:sz w:val="30"/>
          <w:szCs w:val="30"/>
          <w:rtl w:val="true"/>
        </w:rPr>
        <w:t>ו</w:t>
      </w:r>
      <w:r>
        <w:rPr>
          <w:rFonts w:cs="David" w:ascii="David" w:hAnsi="David"/>
          <w:b/>
          <w:bCs/>
          <w:sz w:val="30"/>
          <w:szCs w:val="30"/>
          <w:rtl w:val="true"/>
        </w:rPr>
        <w:t xml:space="preserve">- </w:t>
      </w:r>
      <w:r>
        <w:rPr>
          <w:rFonts w:cs="David" w:ascii="David" w:hAnsi="David"/>
          <w:b/>
          <w:bCs/>
          <w:sz w:val="30"/>
          <w:szCs w:val="30"/>
        </w:rPr>
        <w:t>3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r>
        <w:rPr>
          <w:rFonts w:cs="David" w:ascii="David" w:hAnsi="David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0" w:name="ABSTRACT_START"/>
      <w:bookmarkEnd w:id="10"/>
      <w:r>
        <w:rPr>
          <w:rFonts w:ascii="David" w:hAnsi="David"/>
          <w:rtl w:val="true"/>
        </w:rPr>
        <w:t>עניינו של הליך זה בשלושה נאשמים אשר יוחסו להם עבירות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כולם הודו במסגרת הסדר טיעון בעובדות כתב אישום מתוקן שהוגש בעניינם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הורשע בגדרי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רכישה והחזקה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ובנשיאת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1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בגדרי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רכישה והחזקה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1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hyperlink r:id="rId13"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הורשע בגדרי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רכישה והחזקה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14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בנשיאת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15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עסקה בנשק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1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בגדרי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רכישה והחזקה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1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hyperlink r:id="rId18"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הסדר הטיעון לא כלל הסכמה בדבר העונש הראוי כי ייגזר על נאשמים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ובעניין זה הוסכם כי הצדדים יטענו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באופן חופשי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למען שלמות התמונה 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הודה גם הוא בעובדות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הנוגע לחלקו בעבירות המנויות 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בהיות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קטין בעת ביצוע חלק מהמעשים המתוארים באישום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כי הוא ביצע את העבירות המיוחסות לו בכתב האישום המתוקן באישום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הורשע בביצוע עבירת התקהלות אסורה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המנויה באישום השלישי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הופנה אל שירות המבחן לקבלת תסקיר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וגזר דינו יינתן בהמשך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עובדותיו יובאו בעיקרן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מגולל שני אישומים ביחס לכל אחד מהנאשמים דלעיל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המיוחס לשלושת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מצוין כי הנאשמים מכירים זה 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במהלך שנת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קיבל ממכרו נשק מסוג תת מקלע קרלו אשר סוגל לירות כדור שבכוחו להמית אדם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קרלו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וכן מחסנית ריקה מכדורים שמהווה אבזר לנשק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המחסנית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עטף את הקרלו בניילון נצמד והסתירו סמוך לאצטדיון באום אל פחם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בחלוף חצי שנה 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במהלך השנים </w:t>
      </w:r>
      <w:r>
        <w:rPr>
          <w:rFonts w:cs="David" w:ascii="David" w:hAnsi="David"/>
        </w:rPr>
        <w:t>2020-2019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רקע חוב כספי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סיכמו הנאשמים כי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יעביר לנאשמים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הקרלו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קבעו הנאשמים להיפגש ליד אחת השכונות באום אל פחם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הגיעו אל מקום המפגש בשעות הלילה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 ומוביל איתו את הקרלו ואת המחסנית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אותם לקח ממקום המסתור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קופסת כדורי תחמושת המותאמים לקרלו ושבכוחם להמית אדם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התחמושת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הקרלו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והתחמושת יחד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העביר את הנשק לחזקת 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החזיקוהו בצוותא חדא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נסעו מהמקום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כשהם נושאים ומובילים עימם את הנשק לביתו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 את הקרלו והמחסנית והסתירם בסמוך לביתו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בגדרי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מפורט כי בין שנת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המחצית הראשונה של שנת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סיכמו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לרכוש בשותפות נשק מסוג רובה סער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cs="David" w:ascii="David" w:hAnsi="David"/>
          <w:b/>
          <w:bCs/>
          <w:sz w:val="22"/>
          <w:szCs w:val="22"/>
        </w:rPr>
        <w:t>M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בתקופה המתוארת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למאשימה במדויק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רכשו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ממכר שלהם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שסוגל לירות כדור אשר 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והחזיקו אותו בצוותא חדא במקום מסתור סמוך לביתו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טענות 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סבורה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כל אחד מן האישומים מהווה אירוע 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מדובר במועדים שונים בפער זמנים זה מזה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והעיסוק הוא בשני כלי נשק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טוענת המאשימה כי יש לקבוע מתחם עונש נפרד ביחס לכל אחד מהאישומים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ממשיכה המאשימה וטוענת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במעשי הנאשמים נפגעו הערכים החברתיים של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שמירה על שלטון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תופעת החזקת ונשיאת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הפכה למכת מדינה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בית המשפט להילחם בתופעה באמצעות ענישה מחמירה ושלילת חירות לתקופה ממושכת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עמדה המאשימה על הסכנות הגלומות בסחר בלתי חוקי בנשק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פוטנציאל הסיכון הרב הנובע מעבירות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במישור הפלילי והן במישור הבטחוני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מגמת ההחמרה בענישה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הצורך בהרתעת הנאשמים ושכמותם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סבורה כי מדובר בעבירות הנעשות במחשכים וקשה לחשפן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ומשכך הפיתוי לבצען רב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 מפי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היו מעורבים בשני אירועים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בנוגע לכלי נשק ארוכים אוטומטיים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תת מקלע קרלו ורובה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והדבר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מעיד על היכרות ומעורבות בתחום הנשק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בהמשך נטען 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הנסיבות מעידות על מעורבות הנאשמים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בתחום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היכרות עם הספקים לדבר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היותם חלק מתופעה רחבה הרבה יותר </w:t>
      </w:r>
      <w:r>
        <w:rPr>
          <w:rFonts w:cs="David" w:ascii="David" w:hAnsi="David"/>
          <w:rtl w:val="true"/>
        </w:rPr>
        <w:t xml:space="preserve">...". </w:t>
      </w:r>
      <w:r>
        <w:rPr>
          <w:rFonts w:ascii="David" w:hAnsi="David"/>
          <w:rtl w:val="true"/>
        </w:rPr>
        <w:t>נסיבה נוספת לחומרה 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בעוד במהלך החקירה הקרלו אותר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ascii="David" w:hAnsi="David"/>
          <w:rtl w:val="true"/>
        </w:rPr>
        <w:t>לא אותר ולא ידוע לאילו ידיים עבר ומה היקף הנזק אשר ייגרם מהשימוש שייעשה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הפנתה גם להנחיית פרקליט המדינה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 מדיניות התביעה בנוגע לענישה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הקובע כהוראת שעה עונש מזערי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אחרון זה ציינה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התיקון אינו חל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יש בו ללמד על רצון המחוקק בנוגע להחמרה בעונש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הפנתה המאשימה לשורה של פסקי דין על מנת ללמד על מדיניות הענישה הנוהגת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בבחינת הנסיבות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המאשימה כי הנאשמים הודו בעובדות כתב האישום המתוקן לאחר קיומן של מספר ישיבות הוכחות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חסכו זמן שיפוטי ניכר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הדבר אינו דומה להודאה בהזדמנות הראשונה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בנוגע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עמדה המאשימה על כי הוא יליד שנת </w:t>
      </w:r>
      <w:r>
        <w:rPr>
          <w:rFonts w:cs="David" w:ascii="David" w:hAnsi="David"/>
        </w:rPr>
        <w:t>1995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אין לחובתו רישום פלילי קודם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בנוגע לנאשם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ציינה המאשימה כי הוא יליד </w:t>
      </w:r>
      <w:r>
        <w:rPr>
          <w:rFonts w:cs="David" w:ascii="David" w:hAnsi="David"/>
        </w:rPr>
        <w:t>1992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לחובתו אין רישום פלילי קודם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בשים לב לטיעוניה אלו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עתרה לקביעת המתחמים שיפורטו להלן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בנוגע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 xml:space="preserve">מתחם הנע בין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בגין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ומתחם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בגין האישום השני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בנוגע לנאשם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 xml:space="preserve">מתחם הנע בין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בגין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ומתחם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בגין האישום השני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בנתוני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 להעמיד את עונשם ברף הבינוני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תחתון של כל אחד מהמתחמים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העונשים יצטברו זה לזה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 באופן חלקי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עתרה המאשימה לענישה בדמות מאסר ממושך על תנאי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סנגורו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לראות את שני האירועים כמסכת עובדתית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יש זהות בין כלי הנשק ואף סמיכות זמנים בין האירועים אשר פרק זמן של חצי שנה מפריד ביניהם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סבור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יש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לגזור דינם של הנאשמים ברוח הפסיקה שהייתה לפני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העבירות נשוא כתב האישום המתוקן בוצעו בשנים </w:t>
      </w:r>
      <w:r>
        <w:rPr>
          <w:rFonts w:cs="David" w:ascii="David" w:hAnsi="David"/>
        </w:rPr>
        <w:t>20,19</w:t>
      </w:r>
      <w:r>
        <w:rPr>
          <w:rFonts w:cs="David" w:ascii="David" w:hAnsi="David"/>
          <w:rtl w:val="true"/>
        </w:rPr>
        <w:t xml:space="preserve"> ... </w:t>
      </w:r>
      <w:r>
        <w:rPr>
          <w:rFonts w:ascii="David" w:hAnsi="David"/>
          <w:rtl w:val="true"/>
        </w:rPr>
        <w:t xml:space="preserve">מנעד הענישה שהייתה מקובלת אז בשנים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היא שונה בהחלט מהפסיקה שחברתי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הפנתה אליה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יוער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בעניין זה המאשימה טענה שמדובר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על עבירות שאולי התגלו בשלב מאוחר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ולא על שיהוי בהגשת 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הפנה ופרט שורה של פסקי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וטען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כאשר דובר בעבירה של נשיאה והובלה</w:t>
      </w:r>
      <w:r>
        <w:rPr>
          <w:rFonts w:cs="David" w:ascii="David" w:hAnsi="David"/>
          <w:rtl w:val="true"/>
        </w:rPr>
        <w:t xml:space="preserve">, ... </w:t>
      </w:r>
      <w:r>
        <w:rPr>
          <w:rFonts w:ascii="David" w:hAnsi="David"/>
          <w:rtl w:val="true"/>
        </w:rPr>
        <w:t xml:space="preserve">הפסיקה נעה אז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שהמתחמים שנקבעו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התחילו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ובית המשפט השית בתחתית המתחם לנאשמים שאין להם עבר פלילי </w:t>
      </w:r>
      <w:r>
        <w:rPr>
          <w:rFonts w:cs="David" w:ascii="David" w:hAnsi="David"/>
          <w:rtl w:val="true"/>
        </w:rPr>
        <w:t xml:space="preserve">...". </w:t>
      </w:r>
      <w:r>
        <w:rPr>
          <w:rFonts w:ascii="David" w:hAnsi="David"/>
          <w:rtl w:val="true"/>
        </w:rPr>
        <w:t>אשר לעבירת ההחזקה המיוחסת לנאשמים באישום השני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זה תיק שהיה צריך להתנהל בשלום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שם בשנים הרלוונטיות בגין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החזקת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דמוי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 במקרה שלנו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היו מטילים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עד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מאסר בפועל וזה העונשים שמקבלים גם היום על החזקה </w:t>
      </w:r>
      <w:r>
        <w:rPr>
          <w:rFonts w:cs="David" w:ascii="David" w:hAnsi="David"/>
          <w:rtl w:val="true"/>
        </w:rPr>
        <w:t>...".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לנאשם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נטען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 בגילאי שנה וחצי עד ארבע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קודם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כקבלן משנה בהתקנת פיגומים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 נפטר במהלך ניהול ההליך ממחלת הסרטן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בהיותו בן </w:t>
      </w:r>
      <w:r>
        <w:rPr>
          <w:rFonts w:cs="David" w:ascii="David" w:hAnsi="David"/>
        </w:rPr>
        <w:t>53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עובדה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מעבירה את נטל פרנסת המשפחה על שכמו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 שני אחיו 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האחד בסכרת נעורים ולשני מחלת לב מלידה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לקחו אחריות על עובדות כתב האישום המתוקן וחסכו שמיעת חלק נכבד מהעדים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טען סנגורו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בעקבות שמיעת הראיות החלקית בוצע תיקון משמעותי בכתב האישום שכלל מחיקה של עבירות משני האישומים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נמצא במעצר מיום </w:t>
      </w:r>
      <w:r>
        <w:rPr>
          <w:rFonts w:cs="David" w:ascii="David" w:hAnsi="David"/>
        </w:rPr>
        <w:t>18.5.2022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ביקש להשתחרר לחלופה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בשים לב לטיעוניו אלו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הסנגור להסתפק בתקופת המעצר בה נתון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המגעת כמעט לכדי שנתיים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סנגורו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 אף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יש לגזור את דין הנאשמים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לפי הדין ביום ביצוע המעשה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ובכל הנוגע לאישום הראשון מדובר לטענתו בשנת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ולא לפי הדין החל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אחרת יהא הדבר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מנוגד 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מונהג להלכה הפסוקה של בית המשפט העליון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הסנגור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במהלך השנים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העביר ללא תמורה את הקרלו והתחמושת לנאשמים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מרגע זה הקשר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לקרלו פסק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היה זה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לפני </w:t>
      </w:r>
      <w:r>
        <w:rPr>
          <w:rFonts w:cs="David" w:ascii="David" w:hAnsi="David"/>
        </w:rPr>
        <w:t>3-4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סנגורו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 אף הוא כי מדובר באירוע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מדובר בשני אישומים שעניינם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המעורבים באישום השני הם חלק מהמעורבים 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ופער הזמנים בין המעשים אינו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הנוגע למדיניות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סנגורו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 לאבחן את הפסיקה אליה הפנתה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 הוא להצטרף לפסיקה אליה הפנה סנגורו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הפנה הוא לשני גזרי דין נוספים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לניהול חלקו של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טען סנגורו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רק לאחר שנשמעו חלק מעדי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החלה להתבהר התמונה גם למאשימה ותוקן כתב האישום באופן מהותי בנוגע לעובדות כתב האישום וסעיפי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בשלב בו הודו הנאשמים נחסכה שמיעת שורה ארוכה של עדי 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חוקרי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הנאשמים מביעים חרטה אמיתית וכנה ביחס לביצוע המעשים על ידם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בכל הנוגע לנסיבות המעצר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פרט סנגורו של נאשם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נאשם זה נעצר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 לפני חתונתו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יממה לפני מסיבת החינה המיועדת של הכלה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"</w:t>
      </w:r>
      <w:r>
        <w:rPr>
          <w:rFonts w:ascii="Calibri" w:hAnsi="Calibri" w:cs="Calibri"/>
          <w:rtl w:val="true"/>
        </w:rPr>
        <w:t>נעצר על ידי הימ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מ בצורה מאוד קשה </w:t>
      </w:r>
      <w:r>
        <w:rPr>
          <w:rFonts w:cs="Calibri" w:ascii="Calibri" w:hAnsi="Calibri"/>
          <w:rtl w:val="true"/>
        </w:rPr>
        <w:t>...". "</w:t>
      </w:r>
      <w:r>
        <w:rPr>
          <w:rFonts w:ascii="Calibri" w:hAnsi="Calibri" w:cs="Calibri"/>
          <w:rtl w:val="true"/>
        </w:rPr>
        <w:t>קפצו עליו כבר באמצע הכביש</w:t>
      </w:r>
      <w:r>
        <w:rPr>
          <w:rFonts w:cs="Calibri" w:ascii="Calibri" w:hAnsi="Calibri"/>
          <w:rtl w:val="true"/>
        </w:rPr>
        <w:t>", "</w:t>
      </w:r>
      <w:r>
        <w:rPr>
          <w:rFonts w:ascii="Calibri" w:hAnsi="Calibri" w:cs="Calibri"/>
          <w:rtl w:val="true"/>
        </w:rPr>
        <w:t>שברו את השמשות של 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אנשים רעולי פנים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משם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נלקח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לחקירות 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מנעו המפגש עם 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ד </w:t>
      </w:r>
      <w:r>
        <w:rPr>
          <w:rFonts w:cs="Calibri" w:ascii="Calibri" w:hAnsi="Calibri"/>
          <w:rtl w:val="true"/>
        </w:rPr>
        <w:t xml:space="preserve">...". </w:t>
      </w:r>
      <w:r>
        <w:rPr>
          <w:rFonts w:ascii="Calibri" w:hAnsi="Calibri" w:cs="Calibri"/>
          <w:rtl w:val="true"/>
        </w:rPr>
        <w:t>זאת בעוד שכתב האישום כולו פלילי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אין שמץ של דבר בטחוני בכתב האישום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 xml:space="preserve">הוא נחשד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ברצח כמעשה טרור </w:t>
      </w:r>
      <w:r>
        <w:rPr>
          <w:rFonts w:cs="Calibri" w:ascii="Calibri" w:hAnsi="Calibri"/>
          <w:rtl w:val="true"/>
        </w:rPr>
        <w:t xml:space="preserve">...",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כאשר הם יודעים שאין לו קשר לזה ועושים מזה ציד מכשפות </w:t>
      </w:r>
      <w:r>
        <w:rPr>
          <w:rFonts w:cs="David" w:ascii="David" w:hAnsi="David"/>
          <w:rtl w:val="true"/>
        </w:rPr>
        <w:t xml:space="preserve">...".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נתון במעצר באגף בטחוני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מוחזק במעצר עד תום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למעט תקופה של כשלושה שבועות בה היה נתון במעצר בפיקוח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שיוכל לראות את אמו שעברה ניתוח 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בנאשם שאין לו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עבד בעבודות בניין קודם לכן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בשים לב לטיעוניו אלו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סנגורו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להסתפק בתקופת מעצרו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ולחילופין כי עונש המאסר בפועל אשר יושת עליו לא יעלה על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 הנאשמים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לקראת חתימת הדיון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אמרו הנאשמים את דברם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 צער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והוסיף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אני אבא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 ואני מקווה שבית המשפט יעזור לי ויסייע לי לסיים את המאסר ואני מאוד מצטער על מה שעשיתי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אבא שלי נפטר לפני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ואני מודה לבית המשפט שנתן לי לראות אותו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 כך</w:t>
      </w:r>
      <w:r>
        <w:rPr>
          <w:rFonts w:cs="David" w:ascii="David" w:hAnsi="David"/>
          <w:rtl w:val="true"/>
        </w:rPr>
        <w:t>: "...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נעצרתי לפני חתונה שלי ביומיים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יודע שמה שעשיתי זאת טעות מאוד מאוד גדולה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חשבתי בחיים שאכנס לכלא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מבקש את רחמי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שבית המשפט הנכבד יעזור לי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עוד הוסיף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רוצה לצאת מבית 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להתחתן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להקים 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לחזור לחיים נורמליים </w:t>
      </w:r>
      <w:r>
        <w:rPr>
          <w:rFonts w:cs="David" w:ascii="David" w:hAnsi="David"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העיקרון המנחה בגזירת הדין הוא קיומו של יחס הולם בין חומרת העבירה בנסיבותיה ומידת אשמו של הנאשם העומד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עונש הולם לעבירה שביצע 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יפנה בית המשפט לאתר את העונש המתאים לנאשם בגבולות המתחם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לנסיבות אשר 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רשאי לחרוג ממתחם העונש שקבע הן לקולא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לחומרה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הגנה על 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טרם ניגש למלאכת קביעת מתחם העונש ההולם והשתת העונש הראוי על כל אחד מהנאשמים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להכריע תחילה האם כלל המעשים המיוחסים לנאשמים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מהווים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בגינם יש לקבוע מתחם עונש אחד ויחיד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עתירת הסנגורים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שמא כל אחד משני האישומים מהווה אירוע שונה המצדיק קביעת מתחם ענישה 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עתירת המאשימה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u w:val="single"/>
          <w:rtl w:val="true"/>
        </w:rPr>
        <w:t>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אירועים</w:t>
      </w:r>
      <w:r>
        <w:rPr>
          <w:rtl w:val="true"/>
        </w:rPr>
        <w:t>?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hyperlink r:id="rId2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",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הדוק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ייחשבו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>),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tl w:val="true"/>
        </w:rPr>
        <w:t xml:space="preserve">")).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>. "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תכנון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שיטתיות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ההימלטות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עובדתיות</w:t>
      </w:r>
      <w:r>
        <w:rPr>
          <w:rtl w:val="true"/>
        </w:rPr>
        <w:t xml:space="preserve">.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)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העובדתיות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מלאכותית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כהווייתו</w:t>
      </w:r>
      <w:r>
        <w:rPr>
          <w:rtl w:val="true"/>
        </w:rPr>
        <w:t>" 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1261/15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דלאל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(</w:t>
      </w:r>
      <w:r>
        <w:rPr/>
        <w:t>3.9.2015</w:t>
      </w:r>
      <w:r>
        <w:rPr>
          <w:rtl w:val="true"/>
        </w:rPr>
        <w:t>) 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להפרדה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שהצטרף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להשקפתו</w:t>
      </w:r>
      <w:r>
        <w:rPr>
          <w:rtl w:val="true"/>
        </w:rPr>
        <w:t>, "</w:t>
      </w:r>
      <w:r>
        <w:rPr>
          <w:rtl w:val="true"/>
        </w:rPr>
        <w:t>התיבה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'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;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;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; </w:t>
      </w:r>
      <w:r>
        <w:rPr>
          <w:rtl w:val="true"/>
        </w:rPr>
        <w:t>ובמקומות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" (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5643/14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23.6.2015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tl w:val="true"/>
        </w:rPr>
        <w:t>, "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'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התחשבנות</w:t>
      </w:r>
      <w:r>
        <w:rPr>
          <w:rtl w:val="true"/>
        </w:rPr>
        <w:t xml:space="preserve">'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העצמה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מלאכותית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ושונים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ובראי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הובילוני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.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לדקדק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ייודע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. </w:t>
      </w:r>
      <w:r>
        <w:rPr>
          <w:rtl w:val="true"/>
        </w:rPr>
        <w:t>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למחצית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. </w:t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לקביעותיי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אפוא לעבור ולבחון מהו אותו המתחם שיש לקבוע לכל אחד מהנאשמים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אשר נפגעו כתוצאה מביצוע העבירות על ידי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מידת הפגיעה בערכים אלו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.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החזקתו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הגורל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במעשיהם</w:t>
      </w:r>
      <w:r>
        <w:rPr>
          <w:rtl w:val="true"/>
        </w:rPr>
        <w:t xml:space="preserve">,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פעמים רבות על החומרה הגלומה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הצורך בהחמרת הענישה כלפי מי אשר מבצע עבירות כגון 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על כך פסק הדין 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8869/21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קואסמה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13.3.2022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קואסמה</w:t>
      </w:r>
      <w:r>
        <w:rPr>
          <w:rFonts w:cs="David" w:ascii="David" w:hAnsi="David"/>
          <w:rtl w:val="true"/>
        </w:rPr>
        <w:t>"):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לביצוע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ובייחוד לעבירות הסחר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נודעת חומרה רבה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השכם והערב אנו עדים למעשי אלימות קשים הכוללים שימוש בלתי חוקי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לא פעם מסתיימים באובדן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הפגיעות בגוף ובנפש קשות 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אחת הקורבנות הם אזרחים תמימים אשר נקרו בדרכם של עבריינים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למרבה 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הדברים שקבעתי במקרה אחר עומדים נכוחה גם בעת זו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1218" w:end="851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643" w:end="1276"/>
        <w:jc w:val="both"/>
        <w:rPr/>
      </w:pP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השימוש בנשק חם ככלי ליישוב סכסוכים הפך לרעה חולה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מבקר המדינה</w:t>
      </w:r>
      <w:r>
        <w:rPr>
          <w:rFonts w:ascii="David" w:hAnsi="David"/>
          <w:b/>
          <w:b/>
          <w:bCs/>
          <w:rtl w:val="true"/>
        </w:rPr>
        <w:t xml:space="preserve"> התמודדות משטרת ישראל עם החזקת אמצעי לחימה לא חוקיים ואירועי ירי ביישובי החברה הערבית וביישובים מעורבים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על רקע המציאות אותה אנו חווים למרבה הצער מדי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 xml:space="preserve">ראו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 (</w:t>
      </w:r>
      <w:r>
        <w:rPr>
          <w:rFonts w:cs="David" w:ascii="David" w:hAnsi="David"/>
        </w:rPr>
        <w:t>5.11.2019</w:t>
      </w:r>
      <w:r>
        <w:rPr>
          <w:rFonts w:cs="David" w:ascii="David" w:hAnsi="David"/>
          <w:rtl w:val="true"/>
        </w:rPr>
        <w:t>))".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מגמת ההחמרה והיבט ההרתעה ראו גם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18.7.2019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1218" w:end="851"/>
        <w:jc w:val="both"/>
        <w:rPr/>
      </w:pPr>
      <w:r>
        <w:rPr>
          <w:spacing w:val="10"/>
          <w:rtl w:val="true"/>
        </w:rPr>
        <w:t>"</w:t>
      </w:r>
      <w:r>
        <w:rPr>
          <w:spacing w:val="10"/>
          <w:rtl w:val="true"/>
        </w:rPr>
        <w:t>בית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משפט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זה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עמד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בשורה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ארוכה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פסקי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דין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חומרתן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הרבה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הסכנה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הגבוהה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במיוחד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לשלום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הציבור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וביטחונו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הטמונה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בנשיאה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והחזקה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הדבר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חמור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שבעתיים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במציאות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הישראלית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בלתי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חוקי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עשוי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לשמש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לפעילות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חבלנית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עוינת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רקע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ביטחוני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לפעילות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עבריינית</w:t>
      </w:r>
      <w:r>
        <w:rPr>
          <w:spacing w:val="10"/>
          <w:rtl w:val="true"/>
        </w:rPr>
        <w:t xml:space="preserve">. ... </w:t>
      </w:r>
      <w:r>
        <w:rPr>
          <w:spacing w:val="10"/>
          <w:rtl w:val="true"/>
        </w:rPr>
        <w:t>לפיכך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קיימת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בפסיקה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מגמת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החמרה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ברמת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הענישה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המעורבים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תוך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מתן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ביטוי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עונשי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הולם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לסכנה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הנשקפת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מהן</w:t>
      </w:r>
      <w:r>
        <w:rPr>
          <w:spacing w:val="10"/>
          <w:rtl w:val="true"/>
        </w:rPr>
        <w:t xml:space="preserve">; </w:t>
      </w:r>
      <w:r>
        <w:rPr>
          <w:spacing w:val="10"/>
          <w:rtl w:val="true"/>
        </w:rPr>
        <w:t>וזאת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במטרה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להרתיע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היחיד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והרבים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גם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יחד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מפני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ביצוען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ברירת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המחדל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אפוא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מאסר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בפועל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גם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כאשר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הנאשם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נעדר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פלילי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 הנוגע לתפקידו של בית המשפט בצמצום ובמיגור השימוש הלא חוקי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4456/21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עבסה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23.1.2022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רבות דובר ונכתב על השימוש הנרחב שנעשה בחברה בישראל בכלל ובמגזר הערבי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בנשק בלתי 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חדשות לבקרים אנו עדים לתוצאותיו ההרסניות בדמות גרימת נזקים בגוף ובנפש לאזרחים תמימים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ופגיעה ממשית בביטחונם האישי וברווחתם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פעם עמד בית משפט זה על הצורך בענישה מרתיעה ומחמירה על מנת למגר תופעה זו</w:t>
      </w:r>
      <w:r>
        <w:rPr>
          <w:rFonts w:cs="David" w:ascii="David" w:hAnsi="David"/>
          <w:rtl w:val="true"/>
        </w:rPr>
        <w:t>, ...</w:t>
      </w:r>
    </w:p>
    <w:p>
      <w:pPr>
        <w:pStyle w:val="Normal"/>
        <w:spacing w:lineRule="auto" w:line="360"/>
        <w:ind w:hanging="720" w:start="1218" w:end="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hanging="720" w:start="1218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>...</w:t>
      </w:r>
    </w:p>
    <w:p>
      <w:pPr>
        <w:pStyle w:val="Normal"/>
        <w:spacing w:lineRule="auto" w:line="360"/>
        <w:ind w:hanging="720" w:start="1218" w:end="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1218" w:end="851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בהתאם לזאת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וכחלק מתפקידו של בית המשפט בביעורן של תופעות קשות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קיימת חשיבות של ממש להטלת ענישה הולמת ומרתיעה </w:t>
      </w:r>
      <w:r>
        <w:rPr>
          <w:rFonts w:ascii="David" w:hAnsi="David"/>
          <w:b/>
          <w:b/>
          <w:bCs/>
          <w:rtl w:val="true"/>
        </w:rPr>
        <w:t>על כל חוליות השרשרת העבריינית</w:t>
      </w:r>
      <w:r>
        <w:rPr>
          <w:rFonts w:ascii="David" w:hAnsi="David"/>
          <w:rtl w:val="true"/>
        </w:rPr>
        <w:t xml:space="preserve"> – החל מיצרני או מבריחי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הסוחרים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 לאלו הנוטלים אותו לידם ועושים בו שימוש בלתי חוקי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בעניין נשק התקפי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היה מושא שני האישומים דכאן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4077/22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28.7.2022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498" w:start="498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/>
      </w:pPr>
      <w:r>
        <w:rPr>
          <w:rtl w:val="true"/>
        </w:rPr>
        <w:t>"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ושאחריהן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tl w:val="true"/>
        </w:rPr>
        <w:t xml:space="preserve">, </w:t>
      </w:r>
      <w:r>
        <w:rPr>
          <w:rtl w:val="true"/>
        </w:rPr>
        <w:t>ברכישה</w:t>
      </w:r>
      <w:r>
        <w:rPr>
          <w:rtl w:val="true"/>
        </w:rPr>
        <w:t xml:space="preserve">,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בטיפולנו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ובמבצעיהן</w:t>
      </w:r>
      <w:r>
        <w:rPr>
          <w:rtl w:val="true"/>
        </w:rPr>
        <w:t xml:space="preserve">,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...".</w:t>
      </w:r>
    </w:p>
    <w:p>
      <w:pPr>
        <w:pStyle w:val="Normal"/>
        <w:spacing w:lineRule="auto" w:line="360"/>
        <w:ind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;</w:t>
      </w:r>
    </w:p>
    <w:p>
      <w:pPr>
        <w:pStyle w:val="Normal"/>
        <w:spacing w:lineRule="auto" w:line="360"/>
        <w:ind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7034/23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גהיים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12.12.2023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הערעור נדחה לאחר שבא כוח המערער קיבל את המלצת בית המשפט העליון וחזר בו מערעורו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בגזר דין של הח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59787-11-21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3.8.2023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נקבע בעניינו של המערער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שהיה הנאשם הרביעי באותה פרשה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אשר הורשע בביצוע עסקה אחרת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ביחס למטעני חבלה אשר נמכרו לסוכן משטרתי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מתחם עונש הולם הנע בין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הושתו עליו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4712/22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גושה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9.2.2023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בביצוע שלוש עבירות של עסקה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בעבירת נשיאת נשק ובעבירת נשיאת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הכל על פני חמישה אישומים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המערער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מאסרים מותנים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הקל בעונשו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שעונש המאסר בפועל הועמד על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חומרת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לעונש שהושת על מעורב אחר בנסיבות דומות ולעיקרון אחידות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המשיב הורשע בביצוע 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כניסה ושהייה בישראל בניגוד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בתושב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נין אשר על אף שאינו מורשה כניסה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ברכב בעיר אום אל פחם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על גופו אקדח חצי אוטומטי עם מחסנית וכדורים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משנהג הרכב התבקש על ידי שוטרים לעצור לבדיקה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יצא מהרכב כשהוא נושא את הנשק והחל להימלט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לא שעה לקריאת השוטר אשר רדף אחריו וצעק לעברו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ואחרי שנתפס נאבק בשוטר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המשיב הושתו בבית המשפט המחוזי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בקבלו הערעור על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בפסק 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 xml:space="preserve">"... </w:t>
      </w:r>
      <w:r>
        <w:rPr>
          <w:rFonts w:ascii="David" w:hAnsi="David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בין סורג ובריח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לצד עונשים נלווים בדמותם של מאסר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וקנס</w:t>
      </w:r>
      <w:r>
        <w:rPr>
          <w:rFonts w:cs="David" w:ascii="David" w:hAnsi="David"/>
          <w:rtl w:val="true"/>
        </w:rPr>
        <w:t xml:space="preserve">) ...". </w:t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ומשערכאת הערעור אינה ממצה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הועמד עונש מאסרו בפועל של המשיב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סלאמה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26.5.2022</w:t>
      </w:r>
      <w:r>
        <w:rPr>
          <w:rtl w:val="true"/>
        </w:rPr>
        <w:t xml:space="preserve">) -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עניין קואסמה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המשיב הורשע בביצוע מספר עבירות שנכללו בשלושה אישומים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רכישה והחזקת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 ועסקה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רכישה והחזקת חלקי נשק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והשית על המשיב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בעונשו של 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לכך שאין זו מדרכה של ערכאת הערעור למצות את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הועמד עונש המאסר בפועל על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4290/21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זרבאילוב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6.12.2021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30.8.2021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;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26.5.2021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1944/20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2.9.2020</w:t>
      </w:r>
      <w:r>
        <w:rPr>
          <w:rtl w:val="true"/>
        </w:rPr>
        <w:t xml:space="preserve">) -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.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הציעו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",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עוזון</w:t>
      </w:r>
      <w:r>
        <w:rPr>
          <w:rtl w:val="true"/>
        </w:rPr>
        <w:t xml:space="preserve">",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</w:rPr>
        <w:t>CZ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;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₪, </w:t>
      </w:r>
      <w:r>
        <w:rPr>
          <w:rtl w:val="true"/>
        </w:rPr>
        <w:t>והמשיב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12"/>
          <w:szCs w:val="12"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Century"/>
          <w:rtl w:val="true"/>
        </w:rPr>
        <w:t>אמנם דומה כי מתחם הענישה שקבע בית המשפט המחוזי הוא גבוה יחסית בהשוואה למתחם הנוהג בעבירות 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במיוחד בהינתן שליבת כתב האישום עניינה בעסקת נשק אחת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המתחם שנקבע אינו חורג ממרחב הגמישות שנתון לערכאה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 לעיל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המקרה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היתר בהינתן עברו הפלילי המכביד של המשיב והעובדה כי עונש המאסר המותנה הופעל מחציתו במצטבר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דחה בית המשפט העליון את ערעור המשיב על חומרת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את ערעור המדינה על קולת העונש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טאה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7.6.2020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המערערים היו מעורבים בעסקאות נשק עם 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אחד המערערים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פאדל שמו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בעבירות של סיוע לעסקה אחרת בנשק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בעבירת סחר בנשק בצוותא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פתחי שמו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בעבירה של עסקה אחרת בנשק בצוותא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מתחם העונש בעניינו של פאדל נע בין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ובעניינו של פתחי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לבסוף נגזרו על פאדל בבית המשפט המחוזי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פתחי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ערעורם של פאדל ושל פתחי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lang w:val="en-IL" w:eastAsia="en-IL"/>
        </w:rPr>
      </w:pPr>
      <w:r>
        <w:rPr>
          <w:rFonts w:cs="David" w:ascii="David" w:hAnsi="David"/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 חיפה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34178-06-23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בארין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21.9.2023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גזר דין אליו הפנה סנגורו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 פרשה הורשע בעבירות של נשיאת והובלת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לאחר שהנאשם נהג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כשבתא הכפפות מצוי 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טעון 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שתי מחסניות נוספות מלאות בתחמושת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נאשם זה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 חיפה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52355-03-22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27.3.2023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המאשימה הפנתה לגזר הדין בעניינו של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 פרשה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בעניינם של חמישה נאשמים בפרשה בה הופעל סוכן סמוי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35608-04-18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קורד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28.2.2019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גזר דין אליו הפנה סנגורו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 פרשה הורשע בשתי עבירות של 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ובגדרי אחד 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 פרשה נסע ברכבו עם סוכן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ואסף את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הגעתם לחברון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ניגש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 סמוך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 אל הרכב ומסר לסוכן אקדח מסוג סטאר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יצא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בשנית מהרכב וחזר כשבידיו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אותם הכניס אל המחסנית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השלושה יצאו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אחד מהם ירה מהאקדח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ואז שבו הם אל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 לסוכן את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אישום אחר באותה פרשה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 נסעו יחדיו לחברון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יצא מן הרכב ובשובו אל הרכב הביא עמו רובה סער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בסופו של דבר נמכר לסוכן לאחר שבוצע ירי הימנו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על ידי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של </w:t>
      </w:r>
      <w:r>
        <w:rPr>
          <w:rFonts w:cs="David" w:ascii="David" w:hAnsi="David"/>
        </w:rPr>
        <w:t>6-2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52101-02-15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מחאג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21.12.2015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גזר דין אליו הפנה סנגורו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באותה פרשה הורשע בביצוע עבירות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 וקשירת קשר לביצוע 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נשא והוביל רובה סער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תחמושת ואביזרי נשק מסוגים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מכלול של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באחד מן הימים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הגיע ברכבו סמוך לביתו של אחר בשם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כשהנשק מוחזק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נישא ומובל על ידו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טען את הקלצ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ויצא יחד עם אחרים לביצוע ניסוי 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אחר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המכלול והמחסניות הועברו לידי מוחמד תמורת סכום כסף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נעצר כשברכבו אמצעי לחימה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עד כאן סקירת 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בשלהי פרק זה חשוב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נעלמה הימני טענת הסנגורים המלומדים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הפסיקה הנוהגת הרלוונטית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זו שניתנה בעת בה ביצעו הנאשמים את מעלליהם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הפסיקה אליה הפנתה המאשימה מן העת האחרונה אשר ביקשה להחמיר עם מי אשר מבצע עבירות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טענה זו יש לדחות בשתי ידיים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ומדוע כך</w:t>
      </w:r>
      <w:r>
        <w:rPr>
          <w:rFonts w:cs="David" w:ascii="David" w:hAnsi="David"/>
          <w:rtl w:val="true"/>
        </w:rPr>
        <w:t>?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אכן עדים אנו למגמת החמרה בענישה בעבירות נשק אשר הולכת וגוברת ברבות השנים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מגמה זו באה לידי ביטוי בפסיקתו העניפה של בית המשפט העליון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כמו גם  בתיקוני חקיקה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אחרון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למשל הוראת השעה שעוגנה במסגרת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הקובעת עונש מזערי על מי אשר מבצע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להוציא מקרים חריגים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למשל גם את תיקון </w:t>
      </w:r>
      <w:r>
        <w:rPr>
          <w:rFonts w:cs="David" w:ascii="David" w:hAnsi="David"/>
        </w:rPr>
        <w:t>145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בין היתר הוציא את עבירת רכישת הנשק מגדרי </w:t>
      </w:r>
      <w:hyperlink r:id="rId4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לחוק והכניסה לגדרי </w:t>
      </w:r>
      <w:hyperlink r:id="rId43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סעיף עבירה שהעונש המרבי הקבוע בצידו גבוה יותר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אין חולק על כי תיקוני החקיקה דלעיל אינם חלים על המקרה דכאן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שבכל הנוגע לפסיקה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העליון קרא זה מכבר להחמרה בענישה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בעת ביצוע העבירות דכאן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למשל דבריו של השופט 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מזוז ב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סובח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5.11.2019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: "... </w:t>
      </w:r>
      <w:r>
        <w:rPr>
          <w:rFonts w:ascii="FrankRuehl" w:hAnsi="FrankRuehl" w:cs="FrankRuehl"/>
          <w:spacing w:val="10"/>
          <w:rtl w:val="true"/>
        </w:rPr>
        <w:t>המאבק בתופעות האלימות החמורות בחברה הישראלית בהן נעשה שימוש בנשק מחייב</w:t>
      </w:r>
      <w:r>
        <w:rPr>
          <w:rFonts w:cs="FrankRuehl" w:ascii="FrankRuehl" w:hAnsi="FrankRuehl"/>
          <w:spacing w:val="10"/>
          <w:rtl w:val="true"/>
        </w:rPr>
        <w:t xml:space="preserve">, </w:t>
      </w:r>
      <w:r>
        <w:rPr>
          <w:rFonts w:ascii="FrankRuehl" w:hAnsi="FrankRuehl" w:cs="FrankRuehl"/>
          <w:spacing w:val="10"/>
          <w:rtl w:val="true"/>
        </w:rPr>
        <w:t xml:space="preserve">מעבר למאמץ </w:t>
      </w:r>
      <w:r>
        <w:rPr>
          <w:rFonts w:cs="FrankRuehl" w:ascii="FrankRuehl" w:hAnsi="FrankRuehl"/>
          <w:spacing w:val="10"/>
          <w:rtl w:val="true"/>
        </w:rPr>
        <w:t>'</w:t>
      </w:r>
      <w:r>
        <w:rPr>
          <w:rFonts w:ascii="FrankRuehl" w:hAnsi="FrankRuehl" w:cs="FrankRuehl"/>
          <w:spacing w:val="10"/>
          <w:rtl w:val="true"/>
        </w:rPr>
        <w:t>לשים יד</w:t>
      </w:r>
      <w:r>
        <w:rPr>
          <w:rFonts w:cs="FrankRuehl" w:ascii="FrankRuehl" w:hAnsi="FrankRuehl"/>
          <w:spacing w:val="10"/>
          <w:rtl w:val="true"/>
        </w:rPr>
        <w:t xml:space="preserve">' </w:t>
      </w:r>
      <w:r>
        <w:rPr>
          <w:rFonts w:ascii="FrankRuehl" w:hAnsi="FrankRuehl" w:cs="FrankRuehl"/>
          <w:spacing w:val="10"/>
          <w:rtl w:val="true"/>
        </w:rPr>
        <w:t>על כלי הנשק הבלתי חוקיים הרבים שבידי הציבור</w:t>
      </w:r>
      <w:r>
        <w:rPr>
          <w:rFonts w:cs="FrankRuehl" w:ascii="FrankRuehl" w:hAnsi="FrankRuehl"/>
          <w:spacing w:val="10"/>
          <w:rtl w:val="true"/>
        </w:rPr>
        <w:t xml:space="preserve">, </w:t>
      </w:r>
      <w:r>
        <w:rPr>
          <w:rFonts w:ascii="FrankRuehl" w:hAnsi="FrankRuehl" w:cs="FrankRuehl"/>
          <w:spacing w:val="10"/>
          <w:rtl w:val="true"/>
        </w:rPr>
        <w:t>גם ענישה מחמירה ומרתיעה בעבירות נשק</w:t>
      </w:r>
      <w:r>
        <w:rPr>
          <w:rFonts w:cs="FrankRuehl" w:ascii="FrankRuehl" w:hAnsi="FrankRuehl"/>
          <w:spacing w:val="10"/>
          <w:rtl w:val="true"/>
        </w:rPr>
        <w:t xml:space="preserve">, </w:t>
      </w:r>
      <w:r>
        <w:rPr>
          <w:rFonts w:ascii="FrankRuehl" w:hAnsi="FrankRuehl" w:cs="FrankRuehl"/>
          <w:spacing w:val="10"/>
          <w:rtl w:val="true"/>
        </w:rPr>
        <w:t>לרבות על עצם החזקה או רכישה שלא כדין של נשק</w:t>
      </w:r>
      <w:r>
        <w:rPr>
          <w:rFonts w:cs="FrankRuehl" w:ascii="FrankRuehl" w:hAnsi="FrankRuehl"/>
          <w:spacing w:val="10"/>
          <w:rtl w:val="true"/>
        </w:rPr>
        <w:t xml:space="preserve">". </w:t>
      </w:r>
      <w:r>
        <w:rPr>
          <w:rFonts w:ascii="FrankRuehl" w:hAnsi="FrankRuehl" w:cs="FrankRuehl"/>
          <w:spacing w:val="10"/>
          <w:rtl w:val="true"/>
        </w:rPr>
        <w:t>בהמשך נכתב</w:t>
      </w:r>
      <w:r>
        <w:rPr>
          <w:rFonts w:cs="FrankRuehl" w:ascii="FrankRuehl" w:hAnsi="FrankRuehl"/>
          <w:spacing w:val="10"/>
          <w:rtl w:val="true"/>
        </w:rPr>
        <w:t xml:space="preserve">, </w:t>
      </w:r>
      <w:r>
        <w:rPr>
          <w:rFonts w:ascii="FrankRuehl" w:hAnsi="FrankRuehl" w:cs="FrankRuehl"/>
          <w:spacing w:val="10"/>
          <w:rtl w:val="true"/>
        </w:rPr>
        <w:t>כי</w:t>
      </w:r>
      <w:r>
        <w:rPr>
          <w:rFonts w:cs="FrankRuehl" w:ascii="FrankRuehl" w:hAnsi="FrankRuehl"/>
          <w:spacing w:val="10"/>
          <w:rtl w:val="true"/>
        </w:rPr>
        <w:t>: "</w:t>
      </w:r>
      <w:r>
        <w:rPr>
          <w:rFonts w:ascii="FrankRuehl" w:hAnsi="FrankRuehl" w:cs="FrankRuehl"/>
          <w:spacing w:val="10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FrankRuehl" w:ascii="FrankRuehl" w:hAnsi="FrankRuehl"/>
          <w:spacing w:val="10"/>
          <w:rtl w:val="true"/>
        </w:rPr>
        <w:t xml:space="preserve">, </w:t>
      </w:r>
      <w:r>
        <w:rPr>
          <w:rFonts w:ascii="FrankRuehl" w:hAnsi="FrankRuehl" w:cs="FrankRuehl"/>
          <w:spacing w:val="10"/>
          <w:rtl w:val="true"/>
        </w:rPr>
        <w:t xml:space="preserve">בבחינת </w:t>
      </w:r>
      <w:r>
        <w:rPr>
          <w:rFonts w:cs="FrankRuehl" w:ascii="FrankRuehl" w:hAnsi="FrankRuehl"/>
          <w:spacing w:val="10"/>
          <w:rtl w:val="true"/>
        </w:rPr>
        <w:t>'</w:t>
      </w:r>
      <w:r>
        <w:rPr>
          <w:rFonts w:ascii="FrankRuehl" w:hAnsi="FrankRuehl" w:cs="FrankRuehl"/>
          <w:spacing w:val="10"/>
          <w:rtl w:val="true"/>
        </w:rPr>
        <w:t>ייבוש הביצה</w:t>
      </w:r>
      <w:r>
        <w:rPr>
          <w:rFonts w:cs="FrankRuehl" w:ascii="FrankRuehl" w:hAnsi="FrankRuehl"/>
          <w:spacing w:val="10"/>
          <w:rtl w:val="true"/>
        </w:rPr>
        <w:t xml:space="preserve">' </w:t>
      </w:r>
      <w:r>
        <w:rPr>
          <w:rFonts w:ascii="FrankRuehl" w:hAnsi="FrankRuehl" w:cs="FrankRuehl"/>
          <w:spacing w:val="10"/>
          <w:rtl w:val="true"/>
        </w:rPr>
        <w:t>המשמשת ערש לגידולן של תופעות אלה</w:t>
      </w:r>
      <w:r>
        <w:rPr>
          <w:rFonts w:cs="FrankRuehl" w:ascii="FrankRuehl" w:hAnsi="FrankRuehl"/>
          <w:spacing w:val="10"/>
          <w:rtl w:val="true"/>
        </w:rPr>
        <w:t xml:space="preserve">. </w:t>
      </w:r>
      <w:r>
        <w:rPr>
          <w:rFonts w:ascii="FrankRuehl" w:hAnsi="FrankRuehl" w:cs="FrankRuehl"/>
          <w:spacing w:val="10"/>
          <w:rtl w:val="true"/>
        </w:rPr>
        <w:t>מהלך כזה מחייב הירתמות גם של בתי המשפט</w:t>
      </w:r>
      <w:r>
        <w:rPr>
          <w:rFonts w:cs="FrankRuehl" w:ascii="FrankRuehl" w:hAnsi="FrankRuehl"/>
          <w:spacing w:val="10"/>
          <w:rtl w:val="true"/>
        </w:rPr>
        <w:t xml:space="preserve">, </w:t>
      </w:r>
      <w:r>
        <w:rPr>
          <w:rFonts w:ascii="FrankRuehl" w:hAnsi="FrankRuehl" w:cs="FrankRuehl"/>
          <w:spacing w:val="10"/>
          <w:rtl w:val="true"/>
        </w:rPr>
        <w:t>על ידי ענישה מחמירה ומרתיעה לעבירות נשק בלתי חוקי באשר הן</w:t>
      </w:r>
      <w:r>
        <w:rPr>
          <w:rFonts w:cs="FrankRuehl" w:ascii="FrankRuehl" w:hAnsi="FrankRuehl"/>
          <w:spacing w:val="10"/>
          <w:rtl w:val="true"/>
        </w:rPr>
        <w:t xml:space="preserve">, </w:t>
      </w:r>
      <w:r>
        <w:rPr>
          <w:rFonts w:ascii="FrankRuehl" w:hAnsi="FrankRuehl" w:cs="FrankRuehl"/>
          <w:spacing w:val="10"/>
          <w:rtl w:val="true"/>
        </w:rPr>
        <w:t>וכל שכן מקום שנעשה בנשק כזה שימוש בביצוע עבירות אלימות לסוגיהן</w:t>
      </w:r>
      <w:r>
        <w:rPr>
          <w:rFonts w:cs="FrankRuehl" w:ascii="FrankRuehl" w:hAnsi="FrankRuehl"/>
          <w:spacing w:val="10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pacing w:val="10"/>
        </w:rPr>
      </w:pPr>
      <w:r>
        <w:rPr>
          <w:rFonts w:cs="FrankRuehl" w:ascii="FrankRuehl" w:hAnsi="FrankRuehl"/>
          <w:spacing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FrankRuehl" w:hAnsi="FrankRuehl" w:cs="FrankRuehl"/>
          <w:spacing w:val="10"/>
          <w:rtl w:val="true"/>
        </w:rPr>
        <w:t>למעשה</w:t>
      </w:r>
      <w:r>
        <w:rPr>
          <w:rFonts w:cs="FrankRuehl" w:ascii="FrankRuehl" w:hAnsi="FrankRuehl"/>
          <w:spacing w:val="10"/>
          <w:rtl w:val="true"/>
        </w:rPr>
        <w:t xml:space="preserve">, </w:t>
      </w:r>
      <w:r>
        <w:rPr>
          <w:rFonts w:ascii="FrankRuehl" w:hAnsi="FrankRuehl" w:cs="FrankRuehl"/>
          <w:spacing w:val="10"/>
          <w:rtl w:val="true"/>
        </w:rPr>
        <w:t>בית המשפט העליון עמד על הצורך בענישה מחמירה בעבירות נשק גם שנים קודם ביצוע העבירות על ידי הנאשמים</w:t>
      </w:r>
      <w:r>
        <w:rPr>
          <w:rFonts w:cs="FrankRuehl" w:ascii="FrankRuehl" w:hAnsi="FrankRuehl"/>
          <w:spacing w:val="10"/>
          <w:rtl w:val="true"/>
        </w:rPr>
        <w:t xml:space="preserve">. </w:t>
      </w:r>
      <w:r>
        <w:rPr>
          <w:rFonts w:ascii="FrankRuehl" w:hAnsi="FrankRuehl" w:cs="FrankRuehl"/>
          <w:spacing w:val="10"/>
          <w:rtl w:val="true"/>
        </w:rPr>
        <w:t xml:space="preserve">ראו למשל </w:t>
      </w:r>
      <w:hyperlink r:id="rId45">
        <w:r>
          <w:rPr>
            <w:rStyle w:val="Hyperlink"/>
            <w:rFonts w:ascii="FrankRuehl" w:hAnsi="FrankRuehl" w:cs="FrankRuehl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u w:val="single"/>
          </w:rPr>
          <w:t>5900/15</w:t>
        </w:r>
      </w:hyperlink>
      <w:r>
        <w:rPr>
          <w:rFonts w:cs="FrankRuehl" w:ascii="FrankRuehl" w:hAnsi="FrankRuehl"/>
          <w:spacing w:val="1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pacing w:val="10"/>
          <w:rtl w:val="true"/>
        </w:rPr>
        <w:t>מעוז נ</w:t>
      </w:r>
      <w:r>
        <w:rPr>
          <w:rFonts w:cs="FrankRuehl" w:ascii="FrankRuehl" w:hAnsi="FrankRuehl"/>
          <w:b/>
          <w:bCs/>
          <w:spacing w:val="10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pacing w:val="10"/>
          <w:rtl w:val="true"/>
        </w:rPr>
        <w:t>מדינת ישראל</w:t>
      </w:r>
      <w:r>
        <w:rPr>
          <w:rFonts w:cs="FrankRuehl" w:ascii="FrankRuehl" w:hAnsi="FrankRuehl"/>
          <w:spacing w:val="10"/>
          <w:rtl w:val="true"/>
        </w:rPr>
        <w:t xml:space="preserve">, </w:t>
      </w:r>
      <w:r>
        <w:rPr>
          <w:rFonts w:ascii="FrankRuehl" w:hAnsi="FrankRuehl" w:cs="FrankRuehl"/>
          <w:spacing w:val="10"/>
          <w:rtl w:val="true"/>
        </w:rPr>
        <w:t xml:space="preserve">פסקה </w:t>
      </w:r>
      <w:r>
        <w:rPr>
          <w:rFonts w:cs="FrankRuehl" w:ascii="FrankRuehl" w:hAnsi="FrankRuehl"/>
          <w:spacing w:val="10"/>
        </w:rPr>
        <w:t>8</w:t>
      </w:r>
      <w:r>
        <w:rPr>
          <w:rFonts w:cs="FrankRuehl" w:ascii="FrankRuehl" w:hAnsi="FrankRuehl"/>
          <w:spacing w:val="10"/>
          <w:rtl w:val="true"/>
        </w:rPr>
        <w:t xml:space="preserve"> (</w:t>
      </w:r>
      <w:r>
        <w:rPr>
          <w:rFonts w:cs="FrankRuehl" w:ascii="FrankRuehl" w:hAnsi="FrankRuehl"/>
          <w:spacing w:val="10"/>
        </w:rPr>
        <w:t>10.5.2016</w:t>
      </w:r>
      <w:r>
        <w:rPr>
          <w:rFonts w:cs="FrankRuehl" w:ascii="FrankRuehl" w:hAnsi="FrankRuehl"/>
          <w:spacing w:val="10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ממש בטענת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בלא שאדרש לשאלה האם הנחת היסוד שבבסיס טענתם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הפסיקה הנוהגת הרלוונטית היא מן העת בה בוצע מעשה העבירה ולא הפסיקה מן המועד הסמוך לחתימת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נכונה 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לאו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עיון בפסיקה אליה הפנתה המאשימה מלמד על כי מדובר בפסיקה מגוונת שניתנה על פני ציר זמן של שנים רבות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בנמצא בהפניותיה פסיקה מן השנים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זו אף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חלק מן הפסיקה אליה הפנה סנגורו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 לאחר ביצוע העבירות על ידי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ניטל עוקצה של טענת הסנגורים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למותר לציין אף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בעוד אחרון המעשים המיוחסים לנאשמים שלפניי בוצע בין שנת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למחצית הראשונה של שנת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כתב האישום הוגש בחודש יוני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 נבע ממועד גילוי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מכל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חולק כי הגשת כתב האישום אינה נגועה בשיהוי מאת המאשימה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על כך גם דברי סנגורו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לתמלול הדיון מיום </w:t>
      </w:r>
      <w:r>
        <w:rPr>
          <w:rFonts w:cs="David" w:ascii="David" w:hAnsi="David"/>
        </w:rPr>
        <w:t>20.2.2024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עד כאן בהתייחס לפסיקה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בבחינת </w:t>
      </w:r>
      <w:r>
        <w:rPr>
          <w:rFonts w:ascii="David" w:hAnsi="David"/>
          <w:b/>
          <w:b/>
          <w:bCs/>
          <w:rtl w:val="true"/>
        </w:rPr>
        <w:t>הנסיבות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את הדעת על כי אף שעסקינן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מדובר בשני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שניהם התקפיים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לקרלו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קיבל אותו לידיו יחד עם מחסנית ריקה בשנת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הסליק את הקרלו סמוך לאצטדיון באום אל פחם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אותה השנה או בשנה שלאחריה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החליף הקרלו ידיים בהינתן קיומו של חוב כספי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נשא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הקרלו והמחסנית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והעבירם לחזקת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נשאו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עקב מעשים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כל אחד מהנאשמים שדינם נגזר כעת בעבירות של רכישת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ונשיאת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גם בעבירה של עסקה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באישום השני מתואר כי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רכשו והחזיקו בצוותא חדא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מדובר במעשים חמורים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אחד מהנאשמים רכש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ונשא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 ערך עסקת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באמצעות רכישה </w:t>
      </w:r>
      <w:r>
        <w:rPr>
          <w:rFonts w:cs="David" w:ascii="David" w:hAnsi="David"/>
          <w:rtl w:val="true"/>
        </w:rPr>
        <w:t xml:space="preserve">/ </w:t>
      </w:r>
      <w:r>
        <w:rPr>
          <w:rFonts w:ascii="David" w:hAnsi="David"/>
          <w:rtl w:val="true"/>
        </w:rPr>
        <w:t>מסירה של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מהווים הנאשמים את אחת החוליות בשרשרת הפצת והחזקת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בסופה יכול וייפגע מאן דהוא וייארע נזק הרה גורל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ואכן המעגל של אלו המחזיקים בנשק לא נסגר עד עצם היום הזה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בעוד הקרלו נתפס אגב חקירת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ascii="David" w:hAnsi="David"/>
          <w:rtl w:val="true"/>
        </w:rPr>
        <w:t xml:space="preserve"> עד היום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על כך טיעוני המאשימה</w:t>
      </w:r>
      <w:r>
        <w:rPr>
          <w:rFonts w:cs="David" w:ascii="David" w:hAnsi="David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לאיזה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 xml:space="preserve">, </w:t>
      </w:r>
      <w:r>
        <w:rPr>
          <w:rtl w:val="true"/>
        </w:rPr>
        <w:t>ואימתי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קיים החשש התמידי שמא בסופו של דבר ייעשה שימוש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Fonts w:ascii="David" w:hAnsi="David"/>
          <w:rtl w:val="true"/>
        </w:rPr>
        <w:t>ין אם על רקע פלילי ובין אם על רקע בטחוני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חשש לשימוש מיידי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מגדיל עוד יותר את פוטנציאל הנזק הצפוי בטווח הזמן הקרוב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 היה להתקיים בנוגע לקרלו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נמסר לידי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 עם 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ובהמשך מנאשם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לידי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מחסנית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חרף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סעיפי העבירה אשר יוחסו לנאשמים הם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רישא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רישא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שלנאשמים לא יוחסו עבירות של רכישת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או נשיאת אבזר או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ובהתאם הם לא הורשעו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לדעת מה משך ההחזקה המדויק בנשקים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בו פירוט בדבר הרקע או המטרה לרכישת והחזקת הנשקים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הנוגע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ascii="David" w:hAnsi="David"/>
          <w:rtl w:val="true"/>
        </w:rPr>
        <w:t>לא ברור לאיזה צורך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 תוכנן לעשות עם הנשק ולמה השקיעו את מיטב כספם בקניית תת מקלע מהסוג הזה</w:t>
      </w:r>
      <w:r>
        <w:rPr>
          <w:rFonts w:cs="David" w:ascii="David" w:hAnsi="David"/>
          <w:rtl w:val="true"/>
        </w:rPr>
        <w:t>?</w:t>
      </w:r>
      <w:r>
        <w:rPr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רקע 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אשר נפגעו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מתחם העונש ההולם את מעשיו של 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נע בין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לבין </w:t>
      </w:r>
      <w:r>
        <w:rPr>
          <w:rFonts w:cs="David" w:ascii="David" w:hAnsi="David"/>
          <w:b/>
          <w:bCs/>
        </w:rPr>
        <w:t>70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מתחם העונש ההולם בכל הנוגע למעשיו של 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נע בין 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לבין </w:t>
      </w:r>
      <w:r>
        <w:rPr>
          <w:rFonts w:cs="David" w:ascii="David" w:hAnsi="David"/>
          <w:b/>
          <w:bCs/>
        </w:rPr>
        <w:t>80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הכל לצד עונשי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לכך שהמאשימה לא עתרה להשית על הנאשמים 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נעבור עתה לבחון את העונש הראוי כי יושת על כל אחד מהנאשמים בגדרי המתחם שזה עתה נקבע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ומשאין בנמצא מקום לסטות מעלה או מטה מגבולותיו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הערך המוגן שנפגע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מתקיים וממילא אינו מצדיק גם הוא סטייה 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העונש המתאים לנאשמים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העונש המתאים לכל אחד מהנאשמים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</w:t>
      </w:r>
      <w:r>
        <w:rPr>
          <w:rFonts w:ascii="David" w:hAnsi="David"/>
          <w:b/>
          <w:b/>
          <w:bCs/>
          <w:rtl w:val="true"/>
        </w:rPr>
        <w:t>בנסיבות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46">
        <w:r>
          <w:rPr>
            <w:rStyle w:val="Hyperlink"/>
            <w:rFonts w:ascii="David" w:hAnsi="David"/>
            <w:color w:val="0000FF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 להודאת הנאשמים בעובדות המיוחסות להם בכתב האישום המתוקן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הודאה אשר ניתנה אגב ניהול פרשת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חולק כי הודאת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בשלב בו היא ניתנה על פני ציר הזמן של ניהול ההליך בעניינם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הביאה לחיסכון בזמן שיפוטי ניכר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על כך גם טיעוני המאשימה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טוענת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אין הדבר דומה להודאה בהזדמנות הראשונה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ואולם לא מצאתי לזקוף לחובת הנאשמים את ניהול התיק בחלקו בשים לב לתיקון המשמעותי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 גם מחיקת סעיפי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 שלא נעלמה מעיניי טענת הסנגורים כי שמיעת חלק מן הראיות הובילה לתיקון כתב האישום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נתתי דעתי לצער ולחרטה שהביעו הנאשמים לפניי ואשר התרשמתי מכנות ומאמיתות הדברים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התחשבתי גם בגילם הצעיר באופן יחסי של הנאשמים אשר היו בשנות העשרים לחייהם בעת ביצוע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תשומת הלב ניתנה גם לטענות סנגורו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 היות נאשם זה נשוי ואב לשלושה ילדים קטינים וקטנים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שהגדול בהם בן ארבע שנים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לכך שאביו נפטר תוך כדי ניהול ההליך בגיל צעיר יחסית בהיותו בן </w:t>
      </w:r>
      <w:r>
        <w:rPr>
          <w:rFonts w:cs="David" w:ascii="David" w:hAnsi="David"/>
        </w:rPr>
        <w:t>53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ולכך שנוכח תחלואי אחיו נטל פרנסת המשפחה כולה רובץ על שכמו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הווה אומר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עונש מאסר משמעותי מאחורי סורג ובריח יהא בעל משמעות גם כלפי בני משפחתו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התחשבתי גם בטיעוני סנגורו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נאשם זה נעצר ימים מספר קודם חתונתו המתוכננת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וגם בדברי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עצמו כי הוא מייחל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להתחתן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להקים 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לחזור לחיים נורמליים</w:t>
      </w:r>
      <w:r>
        <w:rPr>
          <w:rFonts w:cs="David" w:ascii="David" w:hAnsi="David"/>
          <w:rtl w:val="true"/>
        </w:rPr>
        <w:t>...".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נתון נוסף בעל משקל משמעותי הוא כי לחובת הנאשמים אין בנמצא רישום פלילי קודם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מכלול נתונים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הפועל כולו לזכות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תומך בהצבת עונשם בתחתית מתחם העונש ההולם שנקבע בעניינם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באמצעות ענישה של מאסר בפועל מאחורי סורג ובריח למשך חודשים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עונש מאסר מותנה הצופה פני עתיד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האסורים</w:t>
      </w:r>
      <w:r>
        <w:rPr>
          <w:rtl w:val="true"/>
        </w:rPr>
        <w:t xml:space="preserve">, </w:t>
      </w:r>
      <w:r>
        <w:rPr>
          <w:rtl w:val="true"/>
        </w:rPr>
        <w:t>וכולי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גוזר על הנאשמים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1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ארבעים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תקופה זו תימנה מיום מעצרו של הנאשם בתאריך </w:t>
      </w:r>
      <w:r>
        <w:rPr>
          <w:rFonts w:cs="David" w:ascii="David" w:hAnsi="David"/>
          <w:b/>
          <w:bCs/>
        </w:rPr>
        <w:t>18.5.2022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שניים עשר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שישה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יעבור כל עבירת נשק מסוג עוון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3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חמישים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תקופה זו תימנה מיום מעצרו של הנאשם בתאריך </w:t>
      </w:r>
      <w:r>
        <w:rPr>
          <w:rFonts w:cs="David" w:ascii="David" w:hAnsi="David"/>
          <w:b/>
          <w:bCs/>
        </w:rPr>
        <w:t>14.12.2023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ובנוסף ינוכו ממנה ימי המעצר מיום </w:t>
      </w:r>
      <w:r>
        <w:rPr>
          <w:rFonts w:cs="David" w:ascii="David" w:hAnsi="David"/>
          <w:b/>
          <w:bCs/>
        </w:rPr>
        <w:t>24.5.2022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ועד ליום </w:t>
      </w:r>
      <w:r>
        <w:rPr>
          <w:rFonts w:cs="David" w:ascii="David" w:hAnsi="David"/>
          <w:b/>
          <w:bCs/>
        </w:rPr>
        <w:t>20.11.2023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ארבעה עשר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שמונה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יעבור כל עבירת נשק מסוג עוון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color w:val="FFFFFF"/>
          <w:sz w:val="2"/>
          <w:szCs w:val="2"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לבית המשפט העליון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37900-06-22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אלבוייראת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c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jc" TargetMode="External"/><Relationship Id="rId21" Type="http://schemas.openxmlformats.org/officeDocument/2006/relationships/hyperlink" Target="http://www.nevo.co.il/case/13093721" TargetMode="External"/><Relationship Id="rId22" Type="http://schemas.openxmlformats.org/officeDocument/2006/relationships/hyperlink" Target="http://www.nevo.co.il/case/20033641" TargetMode="External"/><Relationship Id="rId23" Type="http://schemas.openxmlformats.org/officeDocument/2006/relationships/hyperlink" Target="http://www.nevo.co.il/case/17954235" TargetMode="External"/><Relationship Id="rId24" Type="http://schemas.openxmlformats.org/officeDocument/2006/relationships/hyperlink" Target="http://www.nevo.co.il/case/28200855" TargetMode="External"/><Relationship Id="rId25" Type="http://schemas.openxmlformats.org/officeDocument/2006/relationships/hyperlink" Target="http://www.nevo.co.il/case/25824863" TargetMode="External"/><Relationship Id="rId26" Type="http://schemas.openxmlformats.org/officeDocument/2006/relationships/hyperlink" Target="http://www.nevo.co.il/case/25612982" TargetMode="External"/><Relationship Id="rId27" Type="http://schemas.openxmlformats.org/officeDocument/2006/relationships/hyperlink" Target="http://www.nevo.co.il/case/27734980" TargetMode="External"/><Relationship Id="rId28" Type="http://schemas.openxmlformats.org/officeDocument/2006/relationships/hyperlink" Target="http://www.nevo.co.il/case/28697227" TargetMode="External"/><Relationship Id="rId29" Type="http://schemas.openxmlformats.org/officeDocument/2006/relationships/hyperlink" Target="http://www.nevo.co.il/case/30043734" TargetMode="External"/><Relationship Id="rId30" Type="http://schemas.openxmlformats.org/officeDocument/2006/relationships/hyperlink" Target="http://www.nevo.co.il/case/28122741" TargetMode="External"/><Relationship Id="rId31" Type="http://schemas.openxmlformats.org/officeDocument/2006/relationships/hyperlink" Target="http://www.nevo.co.il/case/28766920" TargetMode="External"/><Relationship Id="rId32" Type="http://schemas.openxmlformats.org/officeDocument/2006/relationships/hyperlink" Target="http://www.nevo.co.il/case/28883087" TargetMode="External"/><Relationship Id="rId33" Type="http://schemas.openxmlformats.org/officeDocument/2006/relationships/hyperlink" Target="http://www.nevo.co.il/case/28619472" TargetMode="External"/><Relationship Id="rId34" Type="http://schemas.openxmlformats.org/officeDocument/2006/relationships/hyperlink" Target="http://www.nevo.co.il/case/27716369" TargetMode="External"/><Relationship Id="rId35" Type="http://schemas.openxmlformats.org/officeDocument/2006/relationships/hyperlink" Target="http://www.nevo.co.il/case/27494821" TargetMode="External"/><Relationship Id="rId36" Type="http://schemas.openxmlformats.org/officeDocument/2006/relationships/hyperlink" Target="http://www.nevo.co.il/case/27648787" TargetMode="External"/><Relationship Id="rId37" Type="http://schemas.openxmlformats.org/officeDocument/2006/relationships/hyperlink" Target="http://www.nevo.co.il/case/26538254" TargetMode="External"/><Relationship Id="rId38" Type="http://schemas.openxmlformats.org/officeDocument/2006/relationships/hyperlink" Target="http://www.nevo.co.il/case/26358476" TargetMode="External"/><Relationship Id="rId39" Type="http://schemas.openxmlformats.org/officeDocument/2006/relationships/hyperlink" Target="http://www.nevo.co.il/case/21474168" TargetMode="External"/><Relationship Id="rId40" Type="http://schemas.openxmlformats.org/officeDocument/2006/relationships/hyperlink" Target="http://www.nevo.co.il/case/23877165" TargetMode="External"/><Relationship Id="rId41" Type="http://schemas.openxmlformats.org/officeDocument/2006/relationships/hyperlink" Target="http://www.nevo.co.il/case/20101906" TargetMode="External"/><Relationship Id="rId42" Type="http://schemas.openxmlformats.org/officeDocument/2006/relationships/hyperlink" Target="http://www.nevo.co.il/law/70301/144.a" TargetMode="External"/><Relationship Id="rId43" Type="http://schemas.openxmlformats.org/officeDocument/2006/relationships/hyperlink" Target="http://www.nevo.co.il/law/70301/144.b" TargetMode="External"/><Relationship Id="rId44" Type="http://schemas.openxmlformats.org/officeDocument/2006/relationships/hyperlink" Target="http://www.nevo.co.il/case/25824863" TargetMode="External"/><Relationship Id="rId45" Type="http://schemas.openxmlformats.org/officeDocument/2006/relationships/hyperlink" Target="http://www.nevo.co.il/case/21472954" TargetMode="External"/><Relationship Id="rId46" Type="http://schemas.openxmlformats.org/officeDocument/2006/relationships/hyperlink" Target="http://www.nevo.co.il/law/70301/40ja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2024-03-24T07:39:00Z</dcterms:created>
  <dc:creator> </dc:creator>
  <dc:description/>
  <cp:keywords/>
  <dc:language>en-IL</dc:language>
  <cp:lastModifiedBy>h1</cp:lastModifiedBy>
  <dcterms:modified xsi:type="dcterms:W3CDTF">2024-03-24T07:39:00Z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אלבוייראת;חדית אלבוריאת;מחמוד בוריאת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ProcID=209&amp;PartA=34178&amp;PartB=06&amp;PartC=23</vt:lpwstr>
  </property>
  <property fmtid="{D5CDD505-2E9C-101B-9397-08002B2CF9AE}" pid="9" name="CASENOTES2">
    <vt:lpwstr>ProcID=209&amp;PartA=52355&amp;PartB=03&amp;PartC=22</vt:lpwstr>
  </property>
  <property fmtid="{D5CDD505-2E9C-101B-9397-08002B2CF9AE}" pid="10" name="CASESLISTTMP1">
    <vt:lpwstr>13093721;20033641;17954235;28200855;25824863:2;25612982;27734980;28697227;30043734;28122741;28766920;28883087;28619472;27716369;27494821;27648787;26538254;26358476;21474168;23877165;20101906;21472954</vt:lpwstr>
  </property>
  <property fmtid="{D5CDD505-2E9C-101B-9397-08002B2CF9AE}" pid="11" name="CITY">
    <vt:lpwstr>חי'</vt:lpwstr>
  </property>
  <property fmtid="{D5CDD505-2E9C-101B-9397-08002B2CF9AE}" pid="12" name="DATE">
    <vt:lpwstr>20240319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אינאס סלאמה</vt:lpwstr>
  </property>
  <property fmtid="{D5CDD505-2E9C-101B-9397-08002B2CF9AE}" pid="16" name="LAWLISTTMP1">
    <vt:lpwstr>70301/144.a:5;144.b:3;029:2;144.b2;40jc;40ja</vt:lpwstr>
  </property>
  <property fmtid="{D5CDD505-2E9C-101B-9397-08002B2CF9AE}" pid="17" name="LAWYER">
    <vt:lpwstr>עאדל בויראת;אחמד חמזה יונס;בדר אגבריה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37900</vt:lpwstr>
  </property>
  <property fmtid="{D5CDD505-2E9C-101B-9397-08002B2CF9AE}" pid="24" name="NEWPARTB">
    <vt:lpwstr>06</vt:lpwstr>
  </property>
  <property fmtid="{D5CDD505-2E9C-101B-9397-08002B2CF9AE}" pid="25" name="NEWPARTC">
    <vt:lpwstr>22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390020240319</vt:lpwstr>
  </property>
  <property fmtid="{D5CDD505-2E9C-101B-9397-08002B2CF9AE}" pid="36" name="TYPE_N_DATE">
    <vt:lpwstr>39020240319</vt:lpwstr>
  </property>
  <property fmtid="{D5CDD505-2E9C-101B-9397-08002B2CF9AE}" pid="37" name="VOLUME">
    <vt:lpwstr/>
  </property>
  <property fmtid="{D5CDD505-2E9C-101B-9397-08002B2CF9AE}" pid="38" name="WORDNUMPAGES">
    <vt:lpwstr>18</vt:lpwstr>
  </property>
</Properties>
</file>