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37966-04-23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אבאז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נור אלדין אבאז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  <w:u w:val="single"/>
        </w:rPr>
      </w:pPr>
      <w:r>
        <w:rPr>
          <w:rFonts w:eastAsia="David" w:cs="David" w:ascii="David" w:hAnsi="David"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של נשיאת והובלת נשק – עבירה לפי </w:t>
      </w:r>
      <w:hyperlink r:id="rId9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ועבירה של ירי מנשק חם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סעיפים </w:t>
      </w:r>
      <w:hyperlink r:id="rId11">
        <w:r>
          <w:rPr>
            <w:rStyle w:val="Hyperlink"/>
            <w:rFonts w:eastAsia="David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1+2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 w:before="0" w:after="200"/>
        <w:ind w:firstLine="425" w:end="0"/>
        <w:contextualSpacing/>
        <w:jc w:val="both"/>
        <w:rPr>
          <w:rFonts w:ascii="David" w:hAnsi="David" w:eastAsia="Calibri" w:cs="David"/>
          <w:sz w:val="14"/>
          <w:szCs w:val="14"/>
          <w:u w:val="single"/>
        </w:rPr>
      </w:pPr>
      <w:r>
        <w:rPr>
          <w:rFonts w:eastAsia="Calibri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4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25.3.23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מוחמד סרחאן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נחתך בראשו על ידי אחר במהלך 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ופונה לקבלת טיפול רפואי ראשוני במוקד הרפואי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ד אל כרום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המוקד הרפואי</w:t>
      </w:r>
      <w:r>
        <w:rPr>
          <w:rFonts w:cs="David" w:ascii="David" w:hAnsi="David"/>
          <w:rtl w:val="true"/>
        </w:rPr>
        <w:t xml:space="preserve">").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לפני השעה </w:t>
      </w:r>
      <w:r>
        <w:rPr>
          <w:rFonts w:cs="David" w:ascii="David" w:hAnsi="David"/>
        </w:rPr>
        <w:t>22:41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התקהלו ברחבת הכניסה למוקד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סביב האמבולנס שהגיע על מנת לפנות את מוחמד לבית החולים אנשים רבים ובני משפחתו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ביניהם אחיו אמיר סרחאן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אמיר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ודודו רסלאן סרחאן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רסלאן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סמוך לרחבת הכניסה למוקד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רכוב על קטנוע מסוג </w:t>
      </w:r>
      <w:r>
        <w:rPr>
          <w:rFonts w:cs="David" w:ascii="David" w:hAnsi="David"/>
        </w:rPr>
        <w:t>KYMCO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7482273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הקטנוע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חובש קסדה על ראשו המסתירה את 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עוטה כפפות שחורות על 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וכשהוא  מוביל ונושא אקדח חצי אוטומטי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פאראבלום שסוגל לירות כדור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כשהוא טעון במחסנית מתאימה המהווה אביזר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המחסנית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ובתוכה מספר כדורים המהווים תחמושת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התחמושת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כל זאת בלא רשות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החנה את הקטנוע סמוך למוקד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בריצה לעבר האמבולנס בעת שמוחמד הובל אליו כשהוא שכוב על גבי אלונקה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את האקדח שהינו 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וירה שלא כדין לפחות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 הנאשם את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התנפלו עליו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רסלאן ואחרים שהיו במוקד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הפילו אותו לרצפה וחילצו ממנו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הוכה הנאשם על ידי הנוכחים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להגעת כוחות משטרה שהוזעקו למקום ועצרו את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הוגש גיליון הרשעות קודמות של  הנאשם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ופלט מאסרים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</w:t>
      </w:r>
      <w:r>
        <w:rPr>
          <w:rFonts w:eastAsia="Calibri" w:cs="David" w:ascii="David" w:hAnsi="David"/>
          <w:rtl w:val="true"/>
        </w:rPr>
        <w:t>: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שלטון החוק והסדר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הערך של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ביטחונו שלמות גופו וקניינו של האדם ושל הציבור בכללותו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המחוקק עצמו נרתם לצורך בהחמרה בענישה וקבע עונשי מינימום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והפנתה להנחיית פרקליט המדינה הקוראת לענישה מחמירה ומרתיעה במאבק במיגור התופעה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ציינה כי חלקו של הנאשם הוא בלעדי שכן הוא זה שנשא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הובילו וירה באמצעותו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מדובר באירוע שכלל תכנון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הנאשם הצטייד מראש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ועטה כפפות שחורות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לפוטנציאל הנזק הגבוה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הירי בוצע במקום הומה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ורק במזל האירוע הסתיים ללא פגיעה גופנית במי מהנוכחים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הנאשם </w:t>
      </w:r>
      <w:r>
        <w:rPr>
          <w:rFonts w:ascii="David" w:hAnsi="David" w:eastAsia="Calibri"/>
          <w:rtl w:val="true"/>
        </w:rPr>
        <w:t>לא רק נשא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אף עשה בו שימוש חרף הסיכון הרב הטמון 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וסיכן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הנאשם הבין את אשר הוא עושה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הפסול</w:t>
      </w:r>
      <w:r>
        <w:rPr>
          <w:rFonts w:ascii="David" w:hAnsi="David" w:eastAsia="Calibri"/>
          <w:rtl w:val="true"/>
        </w:rPr>
        <w:t xml:space="preserve"> במעשיו ואת השלכותיהם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אינו סובל מלקויות כלשהן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אינו קרוב לשום סייג לאחריות פלילית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במצוקה נפשית ולא קדמה למעשיו התגרות כזאת או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להודאת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לחיסכון בזמן שיפוטי יקר ולעברו הפלילי אשר כולל שתי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האחרונה משנת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עבירות של הובלת נשק וסיוע לסחר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הוטלו עליו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וענישה נלווית והרשעתו השנייה משנת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בגין מתן שוחד בגינה  הוטלו עליו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</w:t>
      </w:r>
      <w:r>
        <w:rPr>
          <w:rFonts w:ascii="David" w:hAnsi="David" w:eastAsia="Calibri"/>
          <w:rtl w:val="true"/>
        </w:rPr>
        <w:t>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לאמץ את 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ולמקם את עונשו של הנאשם ב</w:t>
      </w:r>
      <w:r>
        <w:rPr>
          <w:rFonts w:ascii="David" w:hAnsi="David" w:eastAsia="Calibri"/>
          <w:rtl w:val="true"/>
        </w:rPr>
        <w:t xml:space="preserve">רף הבינוני </w:t>
      </w:r>
      <w:r>
        <w:rPr>
          <w:rFonts w:ascii="David" w:hAnsi="David" w:eastAsia="Calibri"/>
          <w:rtl w:val="true"/>
        </w:rPr>
        <w:t>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</w:t>
      </w:r>
      <w:r>
        <w:rPr>
          <w:rFonts w:ascii="David" w:hAnsi="David" w:eastAsia="Calibri"/>
          <w:rtl w:val="true"/>
        </w:rPr>
        <w:t xml:space="preserve"> ארוך ומרתיע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קנס כספי </w:t>
      </w:r>
      <w:r>
        <w:rPr>
          <w:rFonts w:ascii="David" w:hAnsi="David" w:eastAsia="Calibri"/>
          <w:rtl w:val="true"/>
        </w:rPr>
        <w:t>משמעותי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sz w:val="14"/>
          <w:szCs w:val="14"/>
          <w:u w:val="single"/>
        </w:rPr>
      </w:pPr>
      <w:r>
        <w:rPr>
          <w:rFonts w:eastAsia="David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להודאתו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לעובדה כי הפנים את טעותו וחומרת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לתיקון המהותי בכתב האישום לאור קשיים ראייתיים משמעותיים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חיסכון בשמיעת עדים 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לחיסכון בזמן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ולחלוף הזמן ממועד ביצוע העבירות ועד היום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למצבה הכלכלי של המשפחה אשר נפגע קשות בעקבות מעצרו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להתחשב בתקופה בה הנאשם עצור עד תום ההליכים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וכידוע תנאי מעצר יותר קשים מתנאי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להתחשב בעובדה כי מדובר בירי באוויר שלא כוון לאדם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באשר לעברו הפלילי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מדובר בעבירות שבוצעו עת הנאשם היה על סף קטינות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אבחן את פסיקת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למתחם עונש הולם אשר נע בין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ביקש למקם את עונשו של הנאשם ברף ה</w:t>
      </w:r>
      <w:r>
        <w:rPr>
          <w:rFonts w:ascii="David" w:hAnsi="David" w:eastAsia="Calibri"/>
          <w:rtl w:val="true"/>
        </w:rPr>
        <w:t xml:space="preserve">תחתון </w:t>
      </w:r>
      <w:r>
        <w:rPr>
          <w:rFonts w:ascii="David" w:hAnsi="David" w:eastAsia="Calibri"/>
          <w:rtl w:val="true"/>
        </w:rPr>
        <w:t>של המתחם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והביע חרטה על ביצוע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מעשיו לא יישנו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להתחשב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להשתחרר כמה שיותר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לדאוג למשפחתו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להתקדם בחייו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ולהשתלב בטיפול במסגרת הכלא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2">
        <w:r>
          <w:rPr>
            <w:rStyle w:val="Hyperlink"/>
            <w:rFonts w:ascii="David" w:hAnsi="David" w:eastAsia="David"/>
            <w:color w:val="0000FF"/>
            <w:rtl w:val="true"/>
          </w:rPr>
          <w:t>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rtl w:val="true"/>
          </w:rPr>
          <w:t>טו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15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 הצורך לשמור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16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17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18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 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eastAsia="David" w:cs="David" w:ascii="David" w:hAnsi="David"/>
          <w:b/>
          <w:bCs/>
          <w:sz w:val="22"/>
          <w:szCs w:val="22"/>
        </w:rPr>
        <w:t>25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).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19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20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...".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רכב על קטנוע כשהוא נשא והוביל אקדח חצי אוטומטי בקליבר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פאראבלום כשהוא טעון במחסנית ובתוכה מספר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החנה את הקטנוע בסמוך למוקד הרפואי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ניגש בריצה לעבר האמבולנס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שלף את האקדח וירה לפחות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יריות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מדובר בעבירות שבוצעו לאחר תכנון מוקדם שכן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הצטייד באקדח עם מחסנית וכדורים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באמצעות הקטנוע למקום ספציפי וביצע ירי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חומרה מיוחדת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יש בעובדה שהנאשם </w:t>
      </w:r>
      <w:r>
        <w:rPr>
          <w:rFonts w:ascii="David" w:hAnsi="David" w:eastAsia="David"/>
          <w:rtl w:val="true"/>
        </w:rPr>
        <w:t>נשא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והוביל </w:t>
      </w:r>
      <w:r>
        <w:rPr>
          <w:rFonts w:ascii="David" w:hAnsi="David" w:eastAsia="David"/>
          <w:rtl w:val="true"/>
        </w:rPr>
        <w:t>את הנשק ועשה בו שימוש ב</w:t>
      </w:r>
      <w:r>
        <w:rPr>
          <w:rFonts w:ascii="David" w:hAnsi="David" w:eastAsia="David"/>
          <w:rtl w:val="true"/>
        </w:rPr>
        <w:t>מקום בו התקהלו אנשים רבים שעה שמוחמד הובל לאמבולנס כשהוא שכוב על גבי אלונקה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ורק במזל לא נפגעו </w:t>
      </w:r>
      <w:r>
        <w:rPr>
          <w:rFonts w:ascii="David" w:hAnsi="David" w:eastAsia="David"/>
          <w:rtl w:val="true"/>
        </w:rPr>
        <w:t>האנשים הרבים ששהו במקום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ובהתאם גם </w:t>
      </w:r>
      <w:r>
        <w:rPr>
          <w:rFonts w:ascii="David" w:hAnsi="David" w:eastAsia="David"/>
          <w:rtl w:val="true"/>
        </w:rPr>
        <w:t>פוטנציאל הנזק הקטלני וההרסני באירועי ירי בכלל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ובמקום הומה אדם</w:t>
      </w:r>
      <w:r>
        <w:rPr>
          <w:rFonts w:ascii="David" w:hAnsi="David" w:eastAsia="David"/>
          <w:rtl w:val="true"/>
        </w:rPr>
        <w:t xml:space="preserve"> בפרט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חלקו של הנאשם בביצוע העבירות הינו </w:t>
      </w:r>
      <w:r>
        <w:rPr>
          <w:rFonts w:ascii="David" w:hAnsi="David" w:eastAsia="David"/>
          <w:rtl w:val="true"/>
        </w:rPr>
        <w:t>בלעדי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מדובר בנאשם בגיר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שהבין את הפסול במעשיו והשלכותיהם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יכול להימנע מביצועם אך הוא בחר שלא לעשות כן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 בפועל לא נגרם נזק לגוף או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ואניח לטובת הנאשם כי מדובר ביריות לאוויר שלא כוונו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שמדובר בנאשם שאינו מורשה לשאת נשק או לעשות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עבר הכשרות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הקשורות בבטיחות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הנזק מירי גם אם אינו מכוון עלול להיות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קטלני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אניח לטובת הנאשם כי מדובר בנשיאת והובלת נשק שלא נמשכה מעבר לאותה נסיעה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1092" w:leader="none"/>
        </w:tabs>
        <w:spacing w:lineRule="auto" w:line="360" w:before="0" w:after="160"/>
        <w:ind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  <w:tab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ascii="David" w:hAnsi="David" w:eastAsia="David"/>
          <w:rtl w:val="true"/>
        </w:rPr>
        <w:t xml:space="preserve">במכלול הנסיבות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הינה משמעותית ומצויה ברף חומרה בינוני עד גבוה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מדיניות הענישה והפסיקה הנהוגה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2"/>
          <w:szCs w:val="2"/>
          <w:u w:val="single"/>
        </w:rPr>
      </w:pPr>
      <w:r>
        <w:rPr>
          <w:rFonts w:eastAsia="Calibri" w:cs="David" w:ascii="David" w:hAnsi="David"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6985/20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נשיאת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ובזמן שישב במושב הקדמי של רכב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בצד מאסרים מותנים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במסגרת הערעור הופחת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ובעברו הנקי של הנאשם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 שוהה בלתי חוקי נשא אקדח בשטחי ישראל ונמלט משוטר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נשיאת נשק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בעבירת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 כניסה ושהייה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של הנאשם הוחמר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בין סורג ובריח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בידאסה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והאחר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עונשו של הנאשם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 בפועל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אמיר אבו גאנם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על הנאשם בעל עבר פלילי בעבירות נשק שהורשע בעבירה של נשיאת והובלת אקדח ומחסנית ריקה ברכבו נגזרו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</w:t>
      </w:r>
      <w:hyperlink r:id="rId2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6068/21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אברהים פקיה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הנאשם הורשע בעבירות של נשיאת נשק וירי מנשק חם באיזור מגורים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עונש הולם אשר נע בין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בעל עבר פלילי שריצה ארבעה עונשי מאסר הוטלו 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בהתחשב בנסיבותיו האישיות והמלצות שירות המבחן החיוביות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ערעור על קולת העונש התקבל באופן שעונשו של הנאשם הועמד על </w:t>
      </w:r>
      <w:r>
        <w:rPr>
          <w:rFonts w:eastAsia="David" w:cs="David" w:ascii="David" w:hAnsi="David"/>
        </w:rPr>
        <w:t>25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8322/21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דחלה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שעל רקע סכסוך ירה באקדח כשהוא עם  כפפות ופניו מכוסים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חם צוואר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ונמלט מהמקום חרף קריאות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</w:t>
      </w:r>
      <w:r>
        <w:rPr>
          <w:rFonts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1059/21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 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מנשק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שהחזיק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ומשהתפתחו חילופי דברים בין לבין קטין שכללו קריאות הדדיות לעזוב את המקום וכן דחיפות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הוציא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שתי יריות באוויר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ובעת שהקטין ניסה להימלט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הנאשם ירה מספר יריות נוספות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נקבע מתחם ענישה של </w:t>
      </w:r>
      <w:r>
        <w:rPr>
          <w:rFonts w:cs="David" w:ascii="David" w:hAnsi="David"/>
        </w:rPr>
        <w:t>36-60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0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שירה באקדח חצי אוטומטי בשעת צהריים סמוך לביתו של אדם עמו היה מסוכסך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אשר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9830/17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חמודה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 xml:space="preserve">מדינת ישראל </w:t>
      </w:r>
      <w:r>
        <w:rPr>
          <w:rFonts w:ascii="David" w:hAnsi="David"/>
          <w:rtl w:val="true"/>
        </w:rPr>
        <w:t>הנאשם הורשע בביצוע עבירות של נשיאת נשק וירי באזור מגורים בסמוך לבית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רקע סכסוך שנתגלע בין אחות הנאשם למשפחת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72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והעונשים שהוטלו נעים בין </w:t>
      </w:r>
      <w:r>
        <w:rPr>
          <w:rFonts w:eastAsia="David" w:cs="David" w:ascii="David" w:hAnsi="David"/>
        </w:rPr>
        <w:t>28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54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חלק מפסקי הדין לא כללו את העבירה של ירי מנשק 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numPr>
          <w:ilvl w:val="0"/>
          <w:numId w:val="2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הפנה למספר פסקי דין כאשר מתחמי הענישה נעים בין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והעונשים שהוטלו נעים בין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יצוין כי חלק מפסקי הדין לא כללו העבירה של ירי מנשק 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העונש המרבי הקבוע בצידה של נשיאה של אביזר או תחמושת הוא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ascii="David" w:hAnsi="David"/>
          <w:rtl w:val="true"/>
        </w:rPr>
        <w:t xml:space="preserve"> ובצידה של עבירה של ירי בנשק חם באזור מגורים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בתיקון 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גם במקרים בהם לא בוצע ירי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ביצוען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מתחם העונש ההולם  צריך לכלול 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54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לקולה אני מביא בחשבון את ההודאה 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החיסכון </w:t>
      </w:r>
      <w:r>
        <w:rPr>
          <w:rFonts w:ascii="David" w:hAnsi="David" w:eastAsia="David"/>
          <w:rtl w:val="true"/>
        </w:rPr>
        <w:t xml:space="preserve">בשמיעת העדים הרבים והחיסכון </w:t>
      </w:r>
      <w:r>
        <w:rPr>
          <w:rFonts w:ascii="David" w:hAnsi="David" w:eastAsia="David"/>
          <w:rtl w:val="true"/>
        </w:rPr>
        <w:t>בזמן שיפוטי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 xml:space="preserve">כן תובא בחשבון </w:t>
      </w:r>
      <w:r>
        <w:rPr>
          <w:rFonts w:ascii="David" w:hAnsi="David" w:eastAsia="David"/>
          <w:rtl w:val="true"/>
        </w:rPr>
        <w:t xml:space="preserve">תקופת המעצר המשמעותית בה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ascii="David" w:hAnsi="David" w:eastAsia="David"/>
          <w:rtl w:val="true"/>
        </w:rPr>
        <w:t xml:space="preserve">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נסיבותיו האישיות כמפורט בטיעוני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מצבה הכלכלי הקשה של 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השלכות המאסר על הנאשם ומשפחתו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ואת נכונותו של  הנאשם להשתלב בהליך שיקומי במסגרת הכלא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לחומרה יש להביא בחשבון את עברו הפלילי של הנאשם אשר כולל</w:t>
      </w:r>
      <w:r>
        <w:rPr>
          <w:rFonts w:ascii="David" w:hAnsi="David" w:eastAsia="David"/>
          <w:rtl w:val="true"/>
        </w:rPr>
        <w:t xml:space="preserve"> שתי הרשעות קודמות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האחרונה משנת </w:t>
      </w:r>
      <w:r>
        <w:rPr>
          <w:rFonts w:eastAsia="David" w:cs="David" w:ascii="David" w:hAnsi="David"/>
        </w:rPr>
        <w:t>2019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בעבירות של נשיאה והובלת נשק וסיוע לסחר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שם הוטלו עליו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 וענישה נלווית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והרשעתו השנייה משנת </w:t>
      </w:r>
      <w:r>
        <w:rPr>
          <w:rFonts w:eastAsia="David" w:cs="David" w:ascii="David" w:hAnsi="David"/>
        </w:rPr>
        <w:t>2018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בגין עבירת מתן שוחד שם הוטלו עליו שני חודשי מאסר בפועל וענישה נלווית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שנכון לגזור על הנאשם עונש מאסר</w:t>
      </w:r>
      <w:r>
        <w:rPr>
          <w:rFonts w:ascii="David" w:hAnsi="David" w:eastAsia="David"/>
          <w:rtl w:val="true"/>
        </w:rPr>
        <w:t xml:space="preserve"> המתקרב לרף הבינוני של מתחם העונש ההולם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אני גוזר על הנאשם מאסר בפועל לתקופה 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39</w:t>
      </w:r>
      <w:r>
        <w:rPr>
          <w:rFonts w:eastAsia="David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25.03.23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</w:t>
      </w:r>
      <w:r>
        <w:rPr>
          <w:rFonts w:ascii="David" w:hAnsi="David" w:eastAsia="David"/>
          <w:b/>
          <w:b/>
          <w:bCs/>
          <w:rtl w:val="true"/>
        </w:rPr>
        <w:t xml:space="preserve"> או עבירת אלימות מסוג פשע </w:t>
      </w:r>
      <w:r>
        <w:rPr>
          <w:rFonts w:ascii="David" w:hAnsi="David" w:eastAsia="David"/>
          <w:b/>
          <w:b/>
          <w:bCs/>
          <w:rtl w:val="true"/>
        </w:rPr>
        <w:t xml:space="preserve">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עוון</w:t>
      </w:r>
      <w:r>
        <w:rPr>
          <w:rFonts w:ascii="David" w:hAnsi="David" w:eastAsia="David"/>
          <w:b/>
          <w:b/>
          <w:bCs/>
          <w:rtl w:val="true"/>
        </w:rPr>
        <w:t xml:space="preserve"> או עבירת אלימות מסוג עוון </w:t>
      </w:r>
      <w:r>
        <w:rPr>
          <w:rFonts w:ascii="David" w:hAnsi="David" w:eastAsia="David"/>
          <w:b/>
          <w:b/>
          <w:bCs/>
          <w:rtl w:val="true"/>
        </w:rPr>
        <w:t xml:space="preserve">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8"/>
          <w:szCs w:val="18"/>
        </w:rPr>
      </w:pPr>
      <w:r>
        <w:rPr>
          <w:rFonts w:eastAsia="David"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>אני גוזר על הנאשם קנס כספי בסך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10,000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60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>הקנס שהוטל על הנאשם  ישולם עד ל</w:t>
      </w:r>
      <w:r>
        <w:rPr>
          <w:rFonts w:ascii="David" w:hAnsi="David" w:eastAsia="David"/>
          <w:b/>
          <w:b/>
          <w:bCs/>
          <w:rtl w:val="true"/>
        </w:rPr>
        <w:t xml:space="preserve">יום </w:t>
      </w:r>
      <w:r>
        <w:rPr>
          <w:rFonts w:eastAsia="David" w:cs="David" w:ascii="David" w:hAnsi="David"/>
          <w:b/>
          <w:bCs/>
        </w:rPr>
        <w:t>01.01.2025</w:t>
      </w:r>
      <w:r>
        <w:rPr>
          <w:rFonts w:eastAsia="David" w:cs="David" w:ascii="David" w:hAnsi="David"/>
          <w:b/>
          <w:bCs/>
          <w:rtl w:val="true"/>
        </w:rPr>
        <w:t xml:space="preserve"> . </w:t>
      </w: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33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David" w:cs="David"/>
          <w:b/>
          <w:bCs/>
          <w:sz w:val="10"/>
          <w:szCs w:val="10"/>
        </w:rPr>
      </w:pPr>
      <w:r>
        <w:rPr>
          <w:rFonts w:eastAsia="David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before="0" w:after="160"/>
        <w:ind w:firstLine="720" w:end="0"/>
        <w:jc w:val="both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37966-04-23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 אלדין אבאז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f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.a.b.2" TargetMode="External"/><Relationship Id="rId7" Type="http://schemas.openxmlformats.org/officeDocument/2006/relationships/hyperlink" Target="http://www.nevo.co.il/law/70301/340a.b.1." TargetMode="External"/><Relationship Id="rId8" Type="http://schemas.openxmlformats.org/officeDocument/2006/relationships/hyperlink" Target="http://www.nevo.co.il/law/70301/fCa(1)S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b.1.;340.a.b.2" TargetMode="External"/><Relationship Id="rId12" Type="http://schemas.openxmlformats.org/officeDocument/2006/relationships/hyperlink" Target="http://www.nevo.co.il/law/70301/fCa(1)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a;40.if" TargetMode="External"/><Relationship Id="rId15" Type="http://schemas.openxmlformats.org/officeDocument/2006/relationships/hyperlink" Target="http://www.nevo.co.il/law/70301/40a" TargetMode="External"/><Relationship Id="rId16" Type="http://schemas.openxmlformats.org/officeDocument/2006/relationships/hyperlink" Target="http://www.nevo.co.il/case/27894608" TargetMode="External"/><Relationship Id="rId17" Type="http://schemas.openxmlformats.org/officeDocument/2006/relationships/hyperlink" Target="http://www.nevo.co.il/case/2815213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601503" TargetMode="External"/><Relationship Id="rId20" Type="http://schemas.openxmlformats.org/officeDocument/2006/relationships/hyperlink" Target="http://www.nevo.co.il/case/6034921" TargetMode="External"/><Relationship Id="rId21" Type="http://schemas.openxmlformats.org/officeDocument/2006/relationships/hyperlink" Target="http://www.nevo.co.il/case/26913995" TargetMode="External"/><Relationship Id="rId22" Type="http://schemas.openxmlformats.org/officeDocument/2006/relationships/hyperlink" Target="http://www.nevo.co.il/case/27063216" TargetMode="External"/><Relationship Id="rId23" Type="http://schemas.openxmlformats.org/officeDocument/2006/relationships/hyperlink" Target="http://www.nevo.co.il/case/28883087" TargetMode="External"/><Relationship Id="rId24" Type="http://schemas.openxmlformats.org/officeDocument/2006/relationships/hyperlink" Target="http://www.nevo.co.il/case/28243273" TargetMode="External"/><Relationship Id="rId25" Type="http://schemas.openxmlformats.org/officeDocument/2006/relationships/hyperlink" Target="http://www.nevo.co.il/case/28722692" TargetMode="External"/><Relationship Id="rId26" Type="http://schemas.openxmlformats.org/officeDocument/2006/relationships/hyperlink" Target="http://www.nevo.co.il/case/28384638" TargetMode="External"/><Relationship Id="rId27" Type="http://schemas.openxmlformats.org/officeDocument/2006/relationships/hyperlink" Target="http://www.nevo.co.il/case/27915710" TargetMode="External"/><Relationship Id="rId28" Type="http://schemas.openxmlformats.org/officeDocument/2006/relationships/hyperlink" Target="http://www.nevo.co.il/case/28152125" TargetMode="External"/><Relationship Id="rId29" Type="http://schemas.openxmlformats.org/officeDocument/2006/relationships/hyperlink" Target="http://www.nevo.co.il/case/27404359" TargetMode="External"/><Relationship Id="rId30" Type="http://schemas.openxmlformats.org/officeDocument/2006/relationships/hyperlink" Target="http://www.nevo.co.il/case/28384638" TargetMode="External"/><Relationship Id="rId31" Type="http://schemas.openxmlformats.org/officeDocument/2006/relationships/hyperlink" Target="http://www.nevo.co.il/case/2350903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eca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2024-07-07T06:36:00Z</dcterms:created>
  <dc:creator> </dc:creator>
  <dc:description/>
  <cp:keywords/>
  <dc:language>en-IL</dc:language>
  <cp:lastModifiedBy>h1</cp:lastModifiedBy>
  <dcterms:modified xsi:type="dcterms:W3CDTF">2024-07-07T06:36:00Z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 אלדין אבאז'ה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ProcID=133;209&amp;PartA=1530&amp;PartC=04</vt:lpwstr>
  </property>
  <property fmtid="{D5CDD505-2E9C-101B-9397-08002B2CF9AE}" pid="9" name="CASESLISTTMP1">
    <vt:lpwstr>27894608;28152132;5601503;6034921;26913995;27063216;28883087;28243273;28722692;28384638:2;27915710;28152125;27404359;23509035</vt:lpwstr>
  </property>
  <property fmtid="{D5CDD505-2E9C-101B-9397-08002B2CF9AE}" pid="10" name="CITY">
    <vt:lpwstr>חי'</vt:lpwstr>
  </property>
  <property fmtid="{D5CDD505-2E9C-101B-9397-08002B2CF9AE}" pid="11" name="DATE">
    <vt:lpwstr>20240702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70301/144.b;340a.b.1;340.a.b.2;fCa(1)S;040a:2;040.if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37966</vt:lpwstr>
  </property>
  <property fmtid="{D5CDD505-2E9C-101B-9397-08002B2CF9AE}" pid="23" name="NEWPARTB">
    <vt:lpwstr>04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390020240702</vt:lpwstr>
  </property>
  <property fmtid="{D5CDD505-2E9C-101B-9397-08002B2CF9AE}" pid="35" name="TYPE_N_DATE">
    <vt:lpwstr>39020240702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