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37995-06-10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אברהים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גבארין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סוהייב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גבארין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  <w:bookmarkEnd w:id="5"/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הודו והורשעו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שיוחסו להם בכתב האישום המתוקן שסומן באות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בכתב האישום המתוקן ייחסה המאשימה לנאשם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עבירה של סיוע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סיוע לנשיאה והובלת נשק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לפי סעיף </w:t>
      </w:r>
      <w:hyperlink r:id="rId8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טענה בעובדות כתב האישום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הינו אחיו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ושניהם מתגוררים בעיר אום אל פחם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עיר מגוריהם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16.6.10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נסעו הנאשמים יחד ברכב מסוג מזדה בעיר מגוריהם כאשר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נוהג ברכב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יושב במושב הקדמי שליד הנהג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הנסיעה החזיק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נשא והוביל אקדח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39170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ומחסנית תואמת ובה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התחמושת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שנגנבו במהלך התפרצות בנתניה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באותה העת וכפי שמתואר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בנשיאת והובלת האקדח והתחמושת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הינו נשק שסוגל לירות כדורים שבכוחם להמית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והוביל אקדח ביודעו שהושג בפשע וללא רשות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נסיעת הרכב ובשעה </w:t>
      </w:r>
      <w:r>
        <w:rPr>
          <w:rFonts w:cs="Arial" w:ascii="Arial" w:hAnsi="Arial"/>
        </w:rPr>
        <w:t>18:40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נעצרו הנאשמים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צוות שוטרים בשכונה שבעיר מגוריהם כאשר האקדח מונח על המושב בו ישב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כשהנשק מונח בין רגליו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יסוד העובדות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ייחסה המאשימה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העבירות הבאות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החזקת נשק ותחמושת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סעיף </w:t>
      </w:r>
      <w:hyperlink r:id="rId11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 והובלת נשק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לפי סעיף </w:t>
      </w:r>
      <w:hyperlink r:id="rId14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החזקת נכס החשוד כגנוב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רישום פלילי בגין שתי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הראשונה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ללא 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בגינה הובא בפני בית המשפט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החזקת סכין והשנייה עבירת אלימות עליה נידון בבית המשפט המחוזי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הרשעה קודמת בעבירת ניסיון להרוס נכס בחומר נפיץ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והחזקה של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בגינה נגזר עליו עונש שכולל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וכן מאסר מותנה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בר הפעלה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את העבירה נשוא כתב האישום בהיותו אסיר משוחרר ברישיון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שוחרר ביום </w:t>
      </w:r>
      <w:r>
        <w:rPr>
          <w:rFonts w:cs="Arial" w:ascii="Arial" w:hAnsi="Arial"/>
        </w:rPr>
        <w:t>8.3.2010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היה אמור לרצות את עונשו עד ליום </w:t>
      </w:r>
      <w:r>
        <w:rPr>
          <w:rFonts w:cs="Arial" w:ascii="Arial" w:hAnsi="Arial"/>
        </w:rPr>
        <w:t>8.7.2010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הנאשמים נמצאים במעצר מיום </w:t>
      </w:r>
      <w:r>
        <w:rPr>
          <w:rFonts w:cs="Arial" w:ascii="Arial" w:hAnsi="Arial"/>
        </w:rPr>
        <w:t>16.6.2010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הודו בעובדות כתב האישום המתוקן והורשעו ולאור גילם הורה בית המשפט על הגשת תסקירים של שרות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שרות המבחן הגיש ביום </w:t>
      </w:r>
      <w:r>
        <w:rPr>
          <w:rFonts w:cs="Arial" w:ascii="Arial" w:hAnsi="Arial"/>
        </w:rPr>
        <w:t>21.12.10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התסקירים אך עקב שביתת הפרקליטים ישיבת הטיעון לעונש שהייתה קבועה ליום </w:t>
      </w:r>
      <w:r>
        <w:rPr>
          <w:rFonts w:cs="Arial" w:ascii="Arial" w:hAnsi="Arial"/>
        </w:rPr>
        <w:t>26.12.10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נדחתה למועד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התסקירים מתארים את הרקע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סביבתם הקרובה ונתוניהם האישיים תוך התייחסות למשפחה הרחבה של ההורים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האחים והאחיות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בנתונים שהובאו בתסקירים ובעיקר מחמת צנעת הפרט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לנכון לפרט את הנתונים האלה בהרחבה ודי אם אפנה לתסקירים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שרות המבחן לא מצא מקום להמליץ על דרך טיפולית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סבר שרות המבחן כי ענישה מרתיעה יכולה לחבר 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למשמעות התנהגותו ולחומרתה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 להטיל על הנאשמים עונש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משמעותי שיש בו כדי לבטא את חומרת המעשים והעבירות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הסכנה הנשקפת מהחזקת נשק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עבירה זו הפסיקה מזה זמן רב להיות עבירה נדירה והנשק הפך לנכס מצוי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 מיד ליד ובר השגה וכדרכו של נשק בלתי חוקי הוא משמש למעשים בלתי חוקיים תוך פגיעה ברכוש ובגוף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לפסיקה של בתי המשפט וביקש להטיל על הנאשמים עונש מאסר בפועל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וכנגד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אף להפעיל עונש המאסר המותנה במצטבר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ביקש להקל בדינם של הנאשמים על יסוד נסיבותיהם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 הצעיר והודאתם המיידית בעבירות שיוחסו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צעד המבטא חרטה כנה ואמיתית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הסנגור הפנה לפסיקה של בתי המשפט בעבירות מסוג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שנתתי את דעתי לנסיבות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מהות העבירות בהן הורשע כל אחד מהנאשמים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של כל אחד מהנאשמים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תסקירי שרות המבחן ושמעתי את טענות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כי אכן 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בטיעוניו שמדובר בעבירות חמורות שמהן נשקפת סכנה רבה לציבור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להתעלם מכך שנשק בלתי חוקי משמש מדי יום ביומו אמצעי לפגיעה באחרים על ידי עבריינים או עקב סכסוכים בין שני 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נשק כשלעצמו מסוכן למי שמחזיק בו ומסוכן אף יותר למי שמפעילים אותו נגדו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הנשק מבטא גם את רמת האלימות שעושים בה שימוש כדי לפתור סכסוכים בין אישיים ולכל הדעות אלימות מכל סוג ובוודאי זו המופעל בה נשק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חמורה ומחייבת תגובה הולמת של בתי המשפט כדי לצמצם את השימוש בה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אם לא לשרש אותה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ברי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כי נסיבות ביצוע העבירות והעובדות המיוחסות לכל אחד מהנאשמים מצדיקות ענישה שונה בין הנאשמים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גם העבירות בהן הורשעו שונות ולכן עונשו של נאשם </w:t>
      </w:r>
      <w:r>
        <w:rPr>
          <w:rFonts w:cs="Arial" w:ascii="Arial" w:hAnsi="Arial"/>
          <w:color w:val="000000"/>
        </w:rPr>
        <w:t>2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יהיה שונה ויותר חמור מעונשו של נאשם </w:t>
      </w:r>
      <w:r>
        <w:rPr>
          <w:rFonts w:cs="Arial" w:ascii="Arial" w:hAnsi="Arial"/>
          <w:color w:val="000000"/>
        </w:rPr>
        <w:t>1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לכל זה יש להוסיף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את ההבדל ביניהם ביחס לעברם הפלילי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 xml:space="preserve">נגד נאשם </w:t>
      </w:r>
      <w:r>
        <w:rPr>
          <w:rFonts w:cs="Arial" w:ascii="Arial" w:hAnsi="Arial"/>
          <w:color w:val="000000"/>
        </w:rPr>
        <w:t>2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תלוי ועומד עונש מאסר מותנה בר הפעלה 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עוד יש להדגיש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שהפסיקו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11448/03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גרבאן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29.3.04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ruller4"/>
        <w:ind w:end="0"/>
        <w:jc w:val="both"/>
        <w:rPr>
          <w:rFonts w:cs="David"/>
          <w:color w:val="000000"/>
          <w:spacing w:val="0"/>
          <w:sz w:val="24"/>
          <w:szCs w:val="24"/>
        </w:rPr>
      </w:pP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כאן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המקום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להפנות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גם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לענין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גישת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בתי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לעבירות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מסוג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זה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ודי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באשר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נאמר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rFonts w:cs="David"/>
            <w:spacing w:val="0"/>
            <w:sz w:val="24"/>
            <w:szCs w:val="24"/>
          </w:rPr>
          <w:t>3072/07</w:t>
        </w:r>
      </w:hyperlink>
      <w:r>
        <w:rPr>
          <w:rFonts w:cs="David"/>
          <w:color w:val="000000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עבד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חפיז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ואכד</w:t>
      </w:r>
      <w:r>
        <w:rPr>
          <w:rFonts w:cs="David"/>
          <w:color w:val="000000"/>
          <w:spacing w:val="0"/>
          <w:sz w:val="24"/>
          <w:szCs w:val="24"/>
          <w:rtl w:val="true"/>
        </w:rPr>
        <w:t>, (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Cs w:val="24"/>
        </w:rPr>
        <w:t>2.8.07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), 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כי</w:t>
      </w:r>
      <w:r>
        <w:rPr>
          <w:rFonts w:cs="David"/>
          <w:color w:val="000000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David"/>
          <w:b/>
          <w:bCs/>
          <w:color w:val="000000"/>
          <w:spacing w:val="0"/>
          <w:sz w:val="24"/>
          <w:szCs w:val="24"/>
        </w:rPr>
      </w:pPr>
      <w:r>
        <w:rPr>
          <w:rFonts w:cs="David"/>
          <w:b/>
          <w:bCs/>
          <w:color w:val="000000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צורך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לשוב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ולהדגיש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הכרוכה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ונזכיר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השימוש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כחוק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הפך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לעניין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שבשגרה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בביצוען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לפגיעה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בעבריינים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יריבים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מחירם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שילמו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בחייהם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אזרחים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תמימים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מצווים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בעניינם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נאשמים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החוטאים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בתחום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ruller4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החובה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Arial TUR;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מלבצע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2718/04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דאחל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ניתנה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29.3.04</w:t>
      </w:r>
      <w:r>
        <w:rPr>
          <w:rFonts w:cs="David"/>
          <w:sz w:val="24"/>
          <w:szCs w:val="24"/>
          <w:rtl w:val="true"/>
        </w:rPr>
        <w:t xml:space="preserve">; </w:t>
      </w:r>
      <w:hyperlink r:id="rId21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6583/06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אדהאם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5.12.06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hyperlink r:id="rId22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5921/08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רביע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6.5.09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ruller4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cs="David"/>
          <w:color w:val="000000"/>
          <w:spacing w:val="0"/>
          <w:sz w:val="24"/>
          <w:szCs w:val="24"/>
        </w:rPr>
      </w:pP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יחד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זאת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וכידוע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העישה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במקומותינו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הנה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אינדיווידואלית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שמתחשבת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ונותנת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ביטוי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לנסיבות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הספציפיות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מקרה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ומקרה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ואף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להמחיש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זאת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בענישה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שהוטלה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pacing w:val="0"/>
            <w:sz w:val="24"/>
            <w:szCs w:val="24"/>
          </w:rPr>
          <w:t>5220/09</w:t>
        </w:r>
      </w:hyperlink>
      <w:r>
        <w:rPr>
          <w:rFonts w:cs="David"/>
          <w:color w:val="000000"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עוואודה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ישראל</w:t>
      </w:r>
      <w:r>
        <w:rPr>
          <w:rFonts w:cs="David"/>
          <w:color w:val="000000"/>
          <w:spacing w:val="0"/>
          <w:sz w:val="24"/>
          <w:szCs w:val="24"/>
          <w:rtl w:val="true"/>
        </w:rPr>
        <w:t>, (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ביום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Cs w:val="24"/>
        </w:rPr>
        <w:t>30.12.09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),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שם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הורשע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בהחזקת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נשק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ותחמושת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ללא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רישיון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התחשב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לקולה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בעברו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הנקי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ואורח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החיים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הנורמטיבי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היעדר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נוספות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לצד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החזקת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הנשק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וכן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הודאתו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חרטתו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ונטילת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אחריות</w:t>
      </w:r>
      <w:r>
        <w:rPr>
          <w:rFonts w:eastAsia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והט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יל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עליו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color w:val="000000"/>
          <w:spacing w:val="0"/>
          <w:sz w:val="24"/>
          <w:szCs w:val="24"/>
        </w:rPr>
        <w:t>6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בפועל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pacing w:val="0"/>
          <w:sz w:val="24"/>
          <w:szCs w:val="24"/>
        </w:rPr>
        <w:t>9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תנאי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וקנס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העליון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התערב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בגזר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והשאיר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</w:rPr>
        <w:t>כנו</w:t>
      </w:r>
      <w:r>
        <w:rPr>
          <w:rFonts w:cs="David"/>
          <w:color w:val="000000"/>
          <w:spacing w:val="0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pacing w:val="0"/>
          <w:sz w:val="24"/>
          <w:szCs w:val="24"/>
        </w:rPr>
      </w:pPr>
      <w:r>
        <w:rPr>
          <w:rFonts w:cs="Arial" w:ascii="Arial" w:hAnsi="Arial"/>
          <w:color w:val="000000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בטרם גזירת הדין אדגיש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נתתי משקל משמעותי להודאת הנאשמים מבלי להתעלם מהנימוקים לחומרא ולקולא ומיתר שיקולי הענישה ואכן הנני תקווה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הודאה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מבטאת חרטה כנה ואמיתית וכי הנאשמים למדו את הלקח והפיקו את חוסר התועלת שבמעשים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לקוות כי אכן יתעשתו ויתקנו את דרכם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יעלו על דרך המלך ויתנהגו כאנשים מן היישוב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שנתתי את דעתי למכלול השיקולים 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ומבלי להתעלם מטענות הצדדים ומהפסיקה שהוגשה והאחרת שעיינתי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מחליט להטיל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על 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16.6.2010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והתנאי הוא שלא יעבור עבירה מן העבירות המפורטות בכתב האישום המתוקן ויורשע עליה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כספי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שישולם 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שווים ורצופים כאשר התשלום הראשון יהיה ביום </w:t>
      </w:r>
      <w:r>
        <w:rPr>
          <w:rFonts w:cs="Arial" w:ascii="Arial" w:hAnsi="Arial"/>
        </w:rPr>
        <w:t>1.3.11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ובכל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על 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16.6.2010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 זה ישא עונש זה  רק אם יעבור עבירה בה הורשע ויורשע עליה בדין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מורה על הפעלת עונש המאסר המותנה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שהוטל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בתיק </w:t>
      </w:r>
      <w:r>
        <w:rPr>
          <w:rFonts w:cs="Arial" w:ascii="Arial" w:hAnsi="Arial"/>
        </w:rPr>
        <w:t>15900-08-09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הרכב השופטים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גלעד 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אליקים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באופן שארבעה חודשים יצטברו לעונש שהטלתי וחמשה חודשים יהיו חופפים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נעלם מעיני שבימ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מחוזי כתב בגזר הדין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על תנאי למשך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שנים לבל יעבור עבירה בה הורשע </w:t>
      </w:r>
      <w:r>
        <w:rPr>
          <w:rFonts w:ascii="Arial" w:hAnsi="Arial" w:cs="Arial"/>
          <w:b/>
          <w:b/>
          <w:bCs/>
          <w:u w:val="single"/>
          <w:rtl w:val="true"/>
        </w:rPr>
        <w:t>בכל</w:t>
      </w:r>
      <w:r>
        <w:rPr>
          <w:rFonts w:ascii="Arial" w:hAnsi="Arial" w:cs="Arial"/>
          <w:b/>
          <w:b/>
          <w:bCs/>
          <w:rtl w:val="true"/>
        </w:rPr>
        <w:t xml:space="preserve"> עבירת אלימות מסוג פשע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אומנם אין פסיק אחרי 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בה הורשע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ונראה כי 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בכל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צריכה להיות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וכל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כך שבפני עונש מאסר מותנה בר הפעלה ואף הסנגור לא התנגד להפעלת העונש המותנה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סה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 ירצה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cs="Arial" w:ascii="Arial" w:hAnsi="Arial"/>
          <w:b/>
          <w:bCs/>
          <w:u w:val="single"/>
        </w:rPr>
        <w:t>28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חודשי מאסר בפועל מיום מעצרו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בהתחשב בתקופת המאסר שהטלתי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מחליט לחייבו בתשלום קנס כספי בסך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שישולם 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שווים ורצופים כאשר התשלום הראשון יהיה ביום </w:t>
      </w:r>
      <w:r>
        <w:rPr>
          <w:rFonts w:cs="Arial" w:ascii="Arial" w:hAnsi="Arial"/>
        </w:rPr>
        <w:t>1.3.11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ובכל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הודעה לנאשמים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>, ‏</w:t>
      </w:r>
      <w:r>
        <w:rPr>
          <w:rFonts w:ascii="Arial" w:hAnsi="Arial" w:cs="Arial"/>
          <w:rtl w:val="true"/>
        </w:rPr>
        <w:t>יום ראשון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31.1.2011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שהובאו באמצעות הליווי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מסארוה מחמד בהעברה מעו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בויראת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ענאן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Header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ascii="David" w:hAnsi="David"/>
          <w:color w:val="000000"/>
          <w:sz w:val="22"/>
          <w:sz w:val="22"/>
          <w:szCs w:val="22"/>
          <w:u w:val="single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  <w:u w:val="single"/>
        </w:rPr>
        <w:t>54678313</w:t>
      </w: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  <w:t>-/</w:t>
      </w:r>
    </w:p>
    <w:p>
      <w:pPr>
        <w:pStyle w:val="Header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הערה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ועקב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תקלה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במערכת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נחתם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כשליחידת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הליווי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ניתנה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פורט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37995-06-10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גבארין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13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6180713" TargetMode="External"/><Relationship Id="rId19" Type="http://schemas.openxmlformats.org/officeDocument/2006/relationships/hyperlink" Target="http://www.nevo.co.il/case/5873817" TargetMode="External"/><Relationship Id="rId20" Type="http://schemas.openxmlformats.org/officeDocument/2006/relationships/hyperlink" Target="http://www.nevo.co.il/case/5852404" TargetMode="External"/><Relationship Id="rId21" Type="http://schemas.openxmlformats.org/officeDocument/2006/relationships/hyperlink" Target="http://www.nevo.co.il/case/6072945" TargetMode="External"/><Relationship Id="rId22" Type="http://schemas.openxmlformats.org/officeDocument/2006/relationships/hyperlink" Target="http://www.nevo.co.il/case/6040482" TargetMode="External"/><Relationship Id="rId23" Type="http://schemas.openxmlformats.org/officeDocument/2006/relationships/hyperlink" Target="http://www.nevo.co.il/case/6000182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2016-04-26T12:38:00Z</dcterms:created>
  <dc:creator> </dc:creator>
  <dc:description/>
  <cp:keywords/>
  <dc:language>en-IL</dc:language>
  <cp:lastModifiedBy>run</cp:lastModifiedBy>
  <dcterms:modified xsi:type="dcterms:W3CDTF">2016-04-26T12:38:00Z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אברהים גבארין;סוהייב גבארין</vt:lpwstr>
  </property>
  <property fmtid="{D5CDD505-2E9C-101B-9397-08002B2CF9AE}" pid="4" name="CASESLISTTMP1">
    <vt:lpwstr>6180713;5873817;5852404;6072945;6040482;6000182</vt:lpwstr>
  </property>
  <property fmtid="{D5CDD505-2E9C-101B-9397-08002B2CF9AE}" pid="5" name="CITY">
    <vt:lpwstr>חי'</vt:lpwstr>
  </property>
  <property fmtid="{D5CDD505-2E9C-101B-9397-08002B2CF9AE}" pid="6" name="DATE">
    <vt:lpwstr>20110131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כמאל סעב</vt:lpwstr>
  </property>
  <property fmtid="{D5CDD505-2E9C-101B-9397-08002B2CF9AE}" pid="10" name="LAWLISTTMP1">
    <vt:lpwstr>70301/144.b:2;031;144.a;029:3;413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37995</vt:lpwstr>
  </property>
  <property fmtid="{D5CDD505-2E9C-101B-9397-08002B2CF9AE}" pid="25" name="NEWPARTB">
    <vt:lpwstr>06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06 37995 910 htm</vt:lpwstr>
  </property>
  <property fmtid="{D5CDD505-2E9C-101B-9397-08002B2CF9AE}" pid="36" name="TYPE">
    <vt:lpwstr>2</vt:lpwstr>
  </property>
  <property fmtid="{D5CDD505-2E9C-101B-9397-08002B2CF9AE}" pid="37" name="TYPE_ABS_DATE">
    <vt:lpwstr>390020110131</vt:lpwstr>
  </property>
  <property fmtid="{D5CDD505-2E9C-101B-9397-08002B2CF9AE}" pid="38" name="TYPE_N_DATE">
    <vt:lpwstr>39020110131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