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8306"/>
                <w:tab w:val="center" w:pos="4153" w:leader="none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b/>
                <w:bCs/>
                <w:sz w:val="26"/>
                <w:szCs w:val="26"/>
              </w:rPr>
              <w:t>38015-01-12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סלימאן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4153"/>
                <w:tab w:val="right" w:pos="8306" w:leader="none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2013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80"/>
        <w:gridCol w:w="1278"/>
        <w:gridCol w:w="5780"/>
        <w:gridCol w:w="82"/>
      </w:tblGrid>
      <w:tr>
        <w:trPr>
          <w:trHeight w:val="337" w:hRule="atLeast"/>
        </w:trPr>
        <w:tc>
          <w:tcPr>
            <w:tcW w:w="1580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</w:t>
            </w:r>
          </w:p>
        </w:tc>
        <w:tc>
          <w:tcPr>
            <w:tcW w:w="7058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638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 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 שאהר אטרש</w:t>
            </w:r>
            <w:r>
              <w:rPr>
                <w:rStyle w:val="TimesNewRomanTimesNew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  <w:tc>
          <w:tcPr>
            <w:tcW w:w="8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858" w:type="dxa"/>
            <w:gridSpan w:val="2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8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87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858" w:type="dxa"/>
            <w:gridSpan w:val="2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8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עבד אלכרים בן 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מאל סלימאן 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בשם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ויאאם קבלאוי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ab/>
      </w:r>
      <w:r>
        <w:rPr>
          <w:u w:val="none"/>
          <w:rtl w:val="true"/>
        </w:rPr>
        <w:t>בשם 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בעצמו וע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י </w:t>
      </w:r>
      <w:bookmarkStart w:id="2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2"/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אבראהים סלימאן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both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  <w:t>&lt;</w:t>
      </w:r>
      <w:r>
        <w:rPr>
          <w:b w:val="false"/>
          <w:bCs w:val="false"/>
          <w:sz w:val="6"/>
          <w:szCs w:val="6"/>
          <w:u w:val="none"/>
        </w:rPr>
        <w:t>#5#</w:t>
      </w:r>
      <w:r>
        <w:rPr>
          <w:b w:val="false"/>
          <w:bCs w:val="false"/>
          <w:sz w:val="6"/>
          <w:szCs w:val="6"/>
          <w:u w:val="none"/>
          <w:rtl w:val="true"/>
        </w:rPr>
        <w:t>&gt;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6"/>
          <w:szCs w:val="6"/>
          <w:u w:val="none"/>
        </w:rPr>
      </w:pPr>
      <w:r>
        <w:rPr>
          <w:rFonts w:cs="FrankRuehl" w:ascii="FrankRuehl" w:hAnsi="FrankRuehl"/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29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'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275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338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40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.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499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13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]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43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both"/>
        <w:rPr>
          <w:rFonts w:ascii="FrankRuehl" w:hAnsi="FrankRuehl" w:cs="FrankRuehl"/>
          <w:b w:val="false"/>
          <w:bCs w:val="false"/>
          <w:sz w:val="6"/>
          <w:szCs w:val="6"/>
          <w:u w:val="none"/>
        </w:rPr>
      </w:pPr>
      <w:r>
        <w:rPr>
          <w:rFonts w:cs="FrankRuehl" w:ascii="FrankRuehl" w:hAnsi="FrankRuehl"/>
          <w:b w:val="false"/>
          <w:bCs w:val="false"/>
          <w:sz w:val="6"/>
          <w:szCs w:val="6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12"/>
        <w:ind w:end="0"/>
        <w:jc w:val="both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ind w:end="0"/>
        <w:jc w:val="both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12"/>
        <w:ind w:end="0"/>
        <w:jc w:val="center"/>
        <w:rPr>
          <w:rFonts w:ascii="Arial" w:hAnsi="Arial" w:eastAsia="Times New Roman" w:cs="Arial"/>
          <w:sz w:val="28"/>
          <w:szCs w:val="28"/>
        </w:rPr>
      </w:pPr>
      <w:r>
        <w:rPr>
          <w:rFonts w:ascii="Arial" w:hAnsi="Arial" w:eastAsia="Times New Roman" w:cs="Arial"/>
          <w:sz w:val="28"/>
          <w:sz w:val="28"/>
          <w:szCs w:val="28"/>
          <w:rtl w:val="true"/>
        </w:rPr>
        <w:t>החלטה</w:t>
      </w:r>
    </w:p>
    <w:p>
      <w:pPr>
        <w:pStyle w:val="12"/>
        <w:ind w:end="0"/>
        <w:jc w:val="center"/>
        <w:rPr>
          <w:rFonts w:ascii="David" w:hAnsi="David" w:eastAsia="Times New Roman" w:cs="David"/>
          <w:b w:val="false"/>
          <w:bCs w:val="false"/>
          <w:sz w:val="28"/>
          <w:szCs w:val="28"/>
          <w:u w:val="none"/>
        </w:rPr>
      </w:pPr>
      <w:r>
        <w:rPr>
          <w:rFonts w:eastAsia="Times New Roman" w:cs="David" w:ascii="David" w:hAnsi="David"/>
          <w:b w:val="false"/>
          <w:bCs w:val="false"/>
          <w:sz w:val="28"/>
          <w:szCs w:val="28"/>
          <w:u w:val="none"/>
          <w:rtl w:val="true"/>
        </w:rPr>
      </w:r>
    </w:p>
    <w:p>
      <w:pPr>
        <w:pStyle w:val="12"/>
        <w:ind w:end="0"/>
        <w:jc w:val="both"/>
        <w:rPr/>
      </w:pP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אני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 מורה על מחיקת העמודים 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והשורות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 xml:space="preserve"> המבוקשים כפי בקשת ב</w:t>
      </w:r>
      <w:r>
        <w:rPr>
          <w:rFonts w:cs="David" w:ascii="David" w:hAnsi="David"/>
          <w:b w:val="false"/>
          <w:bCs w:val="false"/>
          <w:u w:val="none"/>
          <w:rtl w:val="true"/>
        </w:rPr>
        <w:t>"</w:t>
      </w:r>
      <w:r>
        <w:rPr>
          <w:rFonts w:ascii="David" w:hAnsi="David" w:cs="David"/>
          <w:b w:val="false"/>
          <w:b w:val="false"/>
          <w:bCs w:val="false"/>
          <w:u w:val="none"/>
          <w:rtl w:val="true"/>
        </w:rPr>
        <w:t>כ הצדדים</w:t>
      </w:r>
      <w:r>
        <w:rPr>
          <w:rFonts w:cs="David" w:ascii="David" w:hAnsi="David"/>
          <w:b w:val="false"/>
          <w:bCs w:val="false"/>
          <w:u w:val="none"/>
          <w:rtl w:val="true"/>
        </w:rPr>
        <w:t xml:space="preserve">. </w:t>
      </w:r>
    </w:p>
    <w:p>
      <w:pPr>
        <w:pStyle w:val="12"/>
        <w:ind w:end="0"/>
        <w:jc w:val="both"/>
        <w:rPr>
          <w:rFonts w:ascii="David" w:hAnsi="David" w:cs="David"/>
          <w:b w:val="false"/>
          <w:bCs w:val="false"/>
          <w:sz w:val="6"/>
          <w:szCs w:val="6"/>
          <w:u w:val="none"/>
        </w:rPr>
      </w:pPr>
      <w:r>
        <w:rPr>
          <w:rFonts w:cs="David" w:ascii="David" w:hAnsi="David"/>
          <w:b w:val="false"/>
          <w:bCs w:val="false"/>
          <w:sz w:val="6"/>
          <w:szCs w:val="6"/>
          <w:u w:val="none"/>
          <w:rtl w:val="true"/>
        </w:rPr>
        <w:t>&lt;</w:t>
      </w:r>
      <w:r>
        <w:rPr>
          <w:rFonts w:cs="David" w:ascii="David" w:hAnsi="David"/>
          <w:b w:val="false"/>
          <w:bCs w:val="false"/>
          <w:sz w:val="6"/>
          <w:szCs w:val="6"/>
          <w:u w:val="none"/>
        </w:rPr>
        <w:t>#6#</w:t>
      </w:r>
      <w:r>
        <w:rPr>
          <w:rFonts w:cs="David" w:ascii="David" w:hAnsi="David"/>
          <w:b w:val="false"/>
          <w:bCs w:val="false"/>
          <w:sz w:val="6"/>
          <w:szCs w:val="6"/>
          <w:u w:val="none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  <w:b/>
          <w:bCs/>
          <w:sz w:val="6"/>
          <w:szCs w:val="6"/>
          <w:u w:val="none"/>
        </w:rPr>
      </w:pPr>
      <w:r>
        <w:rPr>
          <w:rFonts w:cs="David"/>
          <w:b/>
          <w:bCs/>
          <w:sz w:val="6"/>
          <w:szCs w:val="6"/>
          <w:u w:val="non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אייר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23/04/2013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שאהר אטרש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start"/>
        <w:outlineLvl w:val="0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numPr>
          <w:ilvl w:val="0"/>
          <w:numId w:val="4"/>
        </w:numPr>
        <w:tabs>
          <w:tab w:val="clear" w:pos="720"/>
          <w:tab w:val="left" w:pos="540" w:leader="none"/>
        </w:tabs>
        <w:spacing w:lineRule="auto" w:line="360"/>
        <w:ind w:hanging="0" w:start="0" w:end="0"/>
        <w:jc w:val="start"/>
        <w:outlineLvl w:val="0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הנאשם הורשע לאחר שמיעת ראיות בביצוע העבירות 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1"/>
          <w:numId w:val="4"/>
        </w:numPr>
        <w:spacing w:lineRule="auto" w:line="360"/>
        <w:ind w:hanging="540" w:start="1080" w:end="0"/>
        <w:jc w:val="both"/>
        <w:rPr/>
      </w:pPr>
      <w:bookmarkStart w:id="9" w:name="ABSTRACT_START"/>
      <w:bookmarkEnd w:id="9"/>
      <w:r>
        <w:rPr>
          <w:rtl w:val="true"/>
        </w:rPr>
        <w:t xml:space="preserve">עבירות בנשק </w:t>
      </w:r>
      <w:r>
        <w:rPr>
          <w:rtl w:val="true"/>
        </w:rPr>
        <w:t>(</w:t>
      </w:r>
      <w:r>
        <w:rPr>
          <w:rtl w:val="true"/>
        </w:rPr>
        <w:t>רכישה והחזקת נשק</w:t>
      </w:r>
      <w:r>
        <w:rPr>
          <w:rtl w:val="true"/>
        </w:rPr>
        <w:t xml:space="preserve">) - </w:t>
      </w:r>
      <w:r>
        <w:rPr>
          <w:rtl w:val="true"/>
        </w:rPr>
        <w:t xml:space="preserve">עבירה לפי </w:t>
      </w:r>
      <w:hyperlink r:id="rId15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</w:t>
      </w:r>
      <w:hyperlink r:id="rId16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 העונשין</w:t>
      </w:r>
      <w:r>
        <w:rPr>
          <w:rtl w:val="true"/>
        </w:rPr>
        <w:t xml:space="preserve">"). </w:t>
      </w:r>
    </w:p>
    <w:p>
      <w:pPr>
        <w:pStyle w:val="Normal"/>
        <w:numPr>
          <w:ilvl w:val="1"/>
          <w:numId w:val="4"/>
        </w:numPr>
        <w:spacing w:lineRule="auto" w:line="360"/>
        <w:ind w:hanging="540" w:start="1080" w:end="0"/>
        <w:jc w:val="both"/>
        <w:rPr/>
      </w:pPr>
      <w:bookmarkStart w:id="10" w:name="ABSTRACT_END"/>
      <w:bookmarkEnd w:id="10"/>
      <w:r>
        <w:rPr>
          <w:rFonts w:eastAsia="David"/>
          <w:rtl w:val="true"/>
        </w:rPr>
        <w:t xml:space="preserve"> </w:t>
      </w:r>
      <w:r>
        <w:rPr>
          <w:rtl w:val="true"/>
        </w:rPr>
        <w:t xml:space="preserve">עבירות בנשק </w:t>
      </w:r>
      <w:r>
        <w:rPr>
          <w:rtl w:val="true"/>
        </w:rPr>
        <w:t>(</w:t>
      </w:r>
      <w:r>
        <w:rPr>
          <w:rtl w:val="true"/>
        </w:rPr>
        <w:t>רכישה והחזקת תחמושת</w:t>
      </w:r>
      <w:r>
        <w:rPr>
          <w:rtl w:val="true"/>
        </w:rPr>
        <w:t xml:space="preserve">) - </w:t>
      </w:r>
      <w:r>
        <w:rPr>
          <w:rtl w:val="true"/>
        </w:rPr>
        <w:t xml:space="preserve">עבירה לפי </w:t>
      </w:r>
      <w:hyperlink r:id="rId1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ל</w:t>
      </w:r>
      <w:hyperlink r:id="rId18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spacing w:lineRule="auto" w:line="360"/>
        <w:ind w:hanging="540" w:start="1080" w:end="0"/>
        <w:jc w:val="both"/>
        <w:rPr/>
      </w:pPr>
      <w:r>
        <w:rPr>
          <w:rtl w:val="true"/>
        </w:rPr>
        <w:t xml:space="preserve">עבירות בנשק </w:t>
      </w:r>
      <w:r>
        <w:rPr>
          <w:rtl w:val="true"/>
        </w:rPr>
        <w:t>(</w:t>
      </w:r>
      <w:r>
        <w:rPr>
          <w:rtl w:val="true"/>
        </w:rPr>
        <w:t>נשיאה והובלת נשק</w:t>
      </w:r>
      <w:r>
        <w:rPr>
          <w:rtl w:val="true"/>
        </w:rPr>
        <w:t xml:space="preserve">) - </w:t>
      </w:r>
      <w:r>
        <w:rPr>
          <w:rtl w:val="true"/>
        </w:rPr>
        <w:t xml:space="preserve">עבירה לפי </w:t>
      </w:r>
      <w:hyperlink r:id="rId1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</w:t>
      </w:r>
      <w:hyperlink r:id="rId20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spacing w:lineRule="auto" w:line="360"/>
        <w:ind w:hanging="540" w:start="1080" w:end="0"/>
        <w:jc w:val="both"/>
        <w:rPr/>
      </w:pPr>
      <w:r>
        <w:rPr>
          <w:rtl w:val="true"/>
        </w:rPr>
        <w:t xml:space="preserve">עבירות בנשק </w:t>
      </w:r>
      <w:r>
        <w:rPr>
          <w:rtl w:val="true"/>
        </w:rPr>
        <w:t>(</w:t>
      </w:r>
      <w:r>
        <w:rPr>
          <w:rtl w:val="true"/>
        </w:rPr>
        <w:t>נשיאה והובלת תחמושת</w:t>
      </w:r>
      <w:r>
        <w:rPr>
          <w:rtl w:val="true"/>
        </w:rPr>
        <w:t xml:space="preserve">) - </w:t>
      </w:r>
      <w:r>
        <w:rPr>
          <w:rtl w:val="true"/>
        </w:rPr>
        <w:t xml:space="preserve">עבירה לפי </w:t>
      </w:r>
      <w:hyperlink r:id="rId21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 ל</w:t>
      </w:r>
      <w:hyperlink r:id="rId2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spacing w:lineRule="auto" w:line="360"/>
        <w:ind w:hanging="540" w:start="1080" w:end="0"/>
        <w:jc w:val="both"/>
        <w:rPr/>
      </w:pPr>
      <w:r>
        <w:rPr>
          <w:rtl w:val="true"/>
        </w:rPr>
        <w:t xml:space="preserve">הפרעה לשוטר במילוי תפקידו </w:t>
      </w:r>
      <w:r>
        <w:rPr>
          <w:rtl w:val="true"/>
        </w:rPr>
        <w:t xml:space="preserve">- </w:t>
      </w:r>
      <w:r>
        <w:rPr>
          <w:rtl w:val="true"/>
        </w:rPr>
        <w:t xml:space="preserve">עבירה לפי </w:t>
      </w:r>
      <w:hyperlink r:id="rId23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spacing w:lineRule="auto" w:line="360"/>
        <w:ind w:hanging="540" w:start="1080" w:end="0"/>
        <w:jc w:val="both"/>
        <w:rPr/>
      </w:pPr>
      <w:r>
        <w:rPr>
          <w:rtl w:val="true"/>
        </w:rPr>
        <w:t xml:space="preserve">מעשה פזיזות ורשלנות </w:t>
      </w:r>
      <w:r>
        <w:rPr>
          <w:rtl w:val="true"/>
        </w:rPr>
        <w:t xml:space="preserve">- </w:t>
      </w:r>
      <w:r>
        <w:rPr>
          <w:rtl w:val="true"/>
        </w:rPr>
        <w:t xml:space="preserve">עבירה לפי </w:t>
      </w:r>
      <w:hyperlink r:id="rId25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spacing w:lineRule="auto" w:line="360"/>
        <w:ind w:hanging="540" w:start="1080" w:end="0"/>
        <w:jc w:val="both"/>
        <w:rPr/>
      </w:pPr>
      <w:r>
        <w:rPr>
          <w:rtl w:val="true"/>
        </w:rPr>
        <w:t xml:space="preserve">הסתייעות ברכב לביצוע פשע </w:t>
      </w:r>
      <w:r>
        <w:rPr>
          <w:rtl w:val="true"/>
        </w:rPr>
        <w:t xml:space="preserve">- </w:t>
      </w:r>
      <w:r>
        <w:rPr>
          <w:rtl w:val="true"/>
        </w:rPr>
        <w:t xml:space="preserve">עבירה לפי </w:t>
      </w:r>
      <w:hyperlink r:id="rId2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פקודת התעבורה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 xml:space="preserve">א – 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פקודת התעבורה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tabs>
          <w:tab w:val="clear" w:pos="720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 xml:space="preserve">בהכרעת הדין מיום </w:t>
      </w:r>
      <w:r>
        <w:rPr/>
        <w:t>30.01.13</w:t>
      </w:r>
      <w:r>
        <w:rPr>
          <w:rtl w:val="true"/>
        </w:rPr>
        <w:t xml:space="preserve"> </w:t>
      </w:r>
      <w:r>
        <w:rPr>
          <w:rtl w:val="true"/>
        </w:rPr>
        <w:t>קבעתי</w:t>
      </w:r>
      <w:r>
        <w:rPr>
          <w:rtl w:val="true"/>
        </w:rPr>
        <w:t xml:space="preserve">, </w:t>
      </w:r>
      <w:r>
        <w:rPr>
          <w:rtl w:val="true"/>
        </w:rPr>
        <w:t xml:space="preserve">כי עובר ליום </w:t>
      </w:r>
      <w:r>
        <w:rPr/>
        <w:t>08.01.12</w:t>
      </w:r>
      <w:r>
        <w:rPr>
          <w:rtl w:val="true"/>
        </w:rPr>
        <w:t xml:space="preserve"> </w:t>
      </w:r>
      <w:r>
        <w:rPr>
          <w:rtl w:val="true"/>
        </w:rPr>
        <w:t xml:space="preserve">רכש הנאשם מאדם שזהותו אינה ידועה למאשימה נשק מסוג </w:t>
      </w:r>
      <w:r>
        <w:rPr>
          <w:rtl w:val="true"/>
        </w:rPr>
        <w:t>"</w:t>
      </w:r>
      <w:r>
        <w:rPr>
          <w:rtl w:val="true"/>
        </w:rPr>
        <w:t>קרל גוסטב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") </w:t>
      </w:r>
      <w:r>
        <w:rPr>
          <w:rtl w:val="true"/>
        </w:rPr>
        <w:t xml:space="preserve">וכן מחסנית וכדורים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התחמושת</w:t>
      </w:r>
      <w:r>
        <w:rPr>
          <w:rtl w:val="true"/>
        </w:rPr>
        <w:t>").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40" w:start="540" w:end="0"/>
        <w:jc w:val="both"/>
        <w:rPr/>
      </w:pPr>
      <w:r>
        <w:rPr/>
        <w:t>3</w:t>
      </w:r>
      <w:r>
        <w:rPr>
          <w:rtl w:val="true"/>
        </w:rPr>
        <w:t xml:space="preserve">. </w:t>
        <w:tab/>
      </w:r>
      <w:r>
        <w:rPr>
          <w:rtl w:val="true"/>
        </w:rPr>
        <w:t>במועד זה</w:t>
      </w:r>
      <w:r>
        <w:rPr>
          <w:rtl w:val="true"/>
        </w:rPr>
        <w:t xml:space="preserve">, </w:t>
      </w:r>
      <w:r>
        <w:rPr>
          <w:rtl w:val="true"/>
        </w:rPr>
        <w:t>הגיע הנאשם לחורשה הסמוכה לישוב ציפורי</w:t>
      </w:r>
      <w:r>
        <w:rPr>
          <w:rtl w:val="true"/>
        </w:rPr>
        <w:t xml:space="preserve">, </w:t>
      </w:r>
      <w:r>
        <w:rPr>
          <w:rtl w:val="true"/>
        </w:rPr>
        <w:t>ירה ירייה אחת באוויר באמצעות הנשק ולאחר מכן הטמין את הנשק והתחמושת במקום מסתור סמוך לביתו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40" w:start="54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בהמשך לאמור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08.01.12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21:00</w:t>
      </w:r>
      <w:r>
        <w:rPr>
          <w:rtl w:val="true"/>
        </w:rPr>
        <w:t xml:space="preserve">, </w:t>
      </w:r>
      <w:r>
        <w:rPr>
          <w:rtl w:val="true"/>
        </w:rPr>
        <w:t xml:space="preserve">בשכונת ספאפרה בנצרת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השכונה</w:t>
      </w:r>
      <w:r>
        <w:rPr>
          <w:rtl w:val="true"/>
        </w:rPr>
        <w:t xml:space="preserve">"), </w:t>
      </w:r>
      <w:r>
        <w:rPr>
          <w:rtl w:val="true"/>
        </w:rPr>
        <w:t xml:space="preserve">נהג הנאשם ברכב מאזדה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 xml:space="preserve">ר </w:t>
      </w:r>
      <w:r>
        <w:rPr/>
        <w:t>84-134-56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"), </w:t>
      </w:r>
      <w:r>
        <w:rPr>
          <w:rtl w:val="true"/>
        </w:rPr>
        <w:t>בעודו נושא בתא המטען של הרכב את הנשק והתחמושת</w:t>
      </w:r>
      <w:r>
        <w:rPr>
          <w:rtl w:val="true"/>
        </w:rPr>
        <w:t xml:space="preserve">. </w:t>
      </w:r>
      <w:r>
        <w:rPr>
          <w:rtl w:val="true"/>
        </w:rPr>
        <w:t>בשכונה סיירו אותה עת שוטרים</w:t>
      </w:r>
      <w:r>
        <w:rPr>
          <w:rtl w:val="true"/>
        </w:rPr>
        <w:t xml:space="preserve">; </w:t>
      </w:r>
      <w:r>
        <w:rPr>
          <w:rtl w:val="true"/>
        </w:rPr>
        <w:t>משהבחין הנאשם בסיור</w:t>
      </w:r>
      <w:r>
        <w:rPr>
          <w:rtl w:val="true"/>
        </w:rPr>
        <w:t xml:space="preserve">, </w:t>
      </w:r>
      <w:r>
        <w:rPr>
          <w:rtl w:val="true"/>
        </w:rPr>
        <w:t>הוא נטש את הרכב</w:t>
      </w:r>
      <w:r>
        <w:rPr>
          <w:rtl w:val="true"/>
        </w:rPr>
        <w:t xml:space="preserve">, </w:t>
      </w:r>
      <w:r>
        <w:rPr>
          <w:rtl w:val="true"/>
        </w:rPr>
        <w:t>בעודו מונע</w:t>
      </w:r>
      <w:r>
        <w:rPr>
          <w:rtl w:val="true"/>
        </w:rPr>
        <w:t xml:space="preserve">, </w:t>
      </w:r>
      <w:r>
        <w:rPr>
          <w:rtl w:val="true"/>
        </w:rPr>
        <w:t>ונמלט מן המקום</w:t>
      </w:r>
      <w:r>
        <w:rPr>
          <w:rtl w:val="true"/>
        </w:rPr>
        <w:t xml:space="preserve">. </w:t>
      </w:r>
      <w:r>
        <w:rPr>
          <w:rtl w:val="true"/>
        </w:rPr>
        <w:t>הרכב הדרדר עד שנתקע באבנים ונעצר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rFonts w:eastAsia="David"/>
          <w:rtl w:val="true"/>
        </w:rPr>
        <w:t xml:space="preserve">  </w:t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המאשימה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540" w:start="54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עמד על חומרת העבירות בהן הורשע הנאשם בציינו</w:t>
      </w:r>
      <w:r>
        <w:rPr>
          <w:rtl w:val="true"/>
        </w:rPr>
        <w:t xml:space="preserve">, </w:t>
      </w:r>
      <w:r>
        <w:rPr>
          <w:rtl w:val="true"/>
        </w:rPr>
        <w:t>כי הנאשם רכש את הנשק מכספו האישי וירה באמצעותו בחורשה הסמוכה ליישוב מגורים</w:t>
      </w:r>
      <w:r>
        <w:rPr>
          <w:rtl w:val="true"/>
        </w:rPr>
        <w:t xml:space="preserve">. </w:t>
      </w:r>
      <w:r>
        <w:rPr>
          <w:rtl w:val="true"/>
        </w:rPr>
        <w:t xml:space="preserve">מהודעת הנאשם במשטרה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 הנאשם רכש את הנשק מאחר וירו לעברו בהזדמנות קודמת וכוונתו הייתה לנקום בתוקפיו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נטש הנאשם את רכבו מונע ומדרדר ונמלט משוטרים</w:t>
      </w:r>
      <w:r>
        <w:rPr>
          <w:rtl w:val="true"/>
        </w:rPr>
        <w:t xml:space="preserve">, </w:t>
      </w:r>
      <w:r>
        <w:rPr>
          <w:rtl w:val="true"/>
        </w:rPr>
        <w:t>ורק בדרך נס לא נגרם אסון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40" w:start="540" w:end="0"/>
        <w:jc w:val="both"/>
        <w:rPr/>
      </w:pPr>
      <w:r>
        <w:rPr/>
        <w:t>6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הדגיש</w:t>
      </w:r>
      <w:r>
        <w:rPr>
          <w:rtl w:val="true"/>
        </w:rPr>
        <w:t xml:space="preserve">, </w:t>
      </w:r>
      <w:r>
        <w:rPr>
          <w:rtl w:val="true"/>
        </w:rPr>
        <w:t>כי ניכרת מגמת החמרה בענישה בעבירות נשק אשר מטרתה להרתיע את מבצעי העבירה ולהרחיקם מן החברה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40" w:start="54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סבור</w:t>
      </w:r>
      <w:r>
        <w:rPr>
          <w:rtl w:val="true"/>
        </w:rPr>
        <w:t xml:space="preserve">, </w:t>
      </w:r>
      <w:r>
        <w:rPr>
          <w:rtl w:val="true"/>
        </w:rPr>
        <w:t>כי אין להעניק משקל רב לנסיבותיו האישיות של הנאשם לרבות היותו צעיר ובן למשפחה נורמטיבית</w:t>
      </w:r>
      <w:r>
        <w:rPr>
          <w:rtl w:val="true"/>
        </w:rPr>
        <w:t xml:space="preserve">; </w:t>
      </w:r>
      <w:r>
        <w:rPr>
          <w:rtl w:val="true"/>
        </w:rPr>
        <w:t>העבירות בהן הורשע מבוצעות פעמים רבות על ידי צעירים שמוגדרים כנורמטיביים ונעדרי עבר פלילי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40" w:start="54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מתסקיר שירות המבחן עולה</w:t>
      </w:r>
      <w:r>
        <w:rPr>
          <w:rtl w:val="true"/>
        </w:rPr>
        <w:t xml:space="preserve">, </w:t>
      </w:r>
      <w:r>
        <w:rPr>
          <w:rtl w:val="true"/>
        </w:rPr>
        <w:t>כי הנאשם מפחית מחומרת העבירה</w:t>
      </w:r>
      <w:r>
        <w:rPr>
          <w:rtl w:val="true"/>
        </w:rPr>
        <w:t xml:space="preserve">; </w:t>
      </w:r>
      <w:r>
        <w:rPr>
          <w:rtl w:val="true"/>
        </w:rPr>
        <w:t>הרקע לביצוע העבירות מוסבר על ידי הנאשם כבחירה חברתית שעשה</w:t>
      </w:r>
      <w:r>
        <w:rPr>
          <w:rtl w:val="true"/>
        </w:rPr>
        <w:t xml:space="preserve">, </w:t>
      </w:r>
      <w:r>
        <w:rPr>
          <w:rtl w:val="true"/>
        </w:rPr>
        <w:t>ומכך ניתן ללמוד על האופן המקל בו הוא רואה את 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40" w:start="54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סבור</w:t>
      </w:r>
      <w:r>
        <w:rPr>
          <w:rtl w:val="true"/>
        </w:rPr>
        <w:t xml:space="preserve">, </w:t>
      </w:r>
      <w:r>
        <w:rPr>
          <w:rtl w:val="true"/>
        </w:rPr>
        <w:t xml:space="preserve">כי מתחם הענישה לאירוע כולו נע בין מאסר בפועל לתקופה הנעה בין 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 ל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בצירוף ענישה נלווית</w:t>
      </w:r>
      <w:r>
        <w:rPr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40" w:start="54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מבקש לגזור על הנאשם עונש שנמצא בחלקו הנמוך של מתחם הענישה המוצע על ידו</w:t>
      </w:r>
      <w:r>
        <w:rPr>
          <w:rtl w:val="true"/>
        </w:rPr>
        <w:t xml:space="preserve">, </w:t>
      </w:r>
      <w:r>
        <w:rPr>
          <w:rtl w:val="true"/>
        </w:rPr>
        <w:t>אם כי לא ברף התחתון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הסתיר את קו ההגנה ונמנע מלהשיב לכתב האישום וזאת חרף הודאתו של הנאשם במשטרה</w:t>
      </w:r>
      <w:r>
        <w:rPr>
          <w:rtl w:val="true"/>
        </w:rPr>
        <w:t xml:space="preserve">;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הנאשם אינו זכאי להקלה לה זכאים נאשמים שהודו במיוחס להם</w:t>
      </w:r>
      <w:r>
        <w:rPr>
          <w:rtl w:val="true"/>
        </w:rPr>
        <w:t xml:space="preserve">, </w:t>
      </w:r>
      <w:r>
        <w:rPr>
          <w:rtl w:val="true"/>
        </w:rPr>
        <w:t>לקחו אחריות על מעשיהם וחסכו מזמנו היקר של בית 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40" w:start="54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מבקש שלא לאמץ את המלצותיו של שירות המבחן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שירות המבחן לא שקל את מלוא השיקולים שיש לקחת בחשבון וראה מולו רק שיקולי 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 xml:space="preserve">כ הנאשם 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540" w:start="54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סבור</w:t>
      </w:r>
      <w:r>
        <w:rPr>
          <w:rtl w:val="true"/>
        </w:rPr>
        <w:t xml:space="preserve">, </w:t>
      </w:r>
      <w:r>
        <w:rPr>
          <w:rtl w:val="true"/>
        </w:rPr>
        <w:t>כי במקרה דנן הכף נוטה לעבר הפן השיקומי נוכח גילו הצעיר של הנאשם</w:t>
      </w:r>
      <w:r>
        <w:rPr>
          <w:rtl w:val="true"/>
        </w:rPr>
        <w:t xml:space="preserve">, </w:t>
      </w:r>
      <w:r>
        <w:rPr>
          <w:rtl w:val="true"/>
        </w:rPr>
        <w:t>חרטתו ועברו הפלילי הנקי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40" w:start="54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הנאשם הודה במיוחס לו עת נגבתה הודעתו במשטרה</w:t>
      </w:r>
      <w:r>
        <w:rPr>
          <w:rtl w:val="true"/>
        </w:rPr>
        <w:t xml:space="preserve">; </w:t>
      </w:r>
      <w:r>
        <w:rPr>
          <w:rtl w:val="true"/>
        </w:rPr>
        <w:t>זכותו של הנאשם שלא להשיב לכתב האישום</w:t>
      </w:r>
      <w:r>
        <w:rPr>
          <w:rtl w:val="true"/>
        </w:rPr>
        <w:t xml:space="preserve">; </w:t>
      </w:r>
      <w:r>
        <w:rPr>
          <w:rtl w:val="true"/>
        </w:rPr>
        <w:t>אין זה אומר שהנאשם כפר בעובדות כתב 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40" w:start="54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מתסקיר שירות המבחן עולה</w:t>
      </w:r>
      <w:r>
        <w:rPr>
          <w:rtl w:val="true"/>
        </w:rPr>
        <w:t xml:space="preserve">, </w:t>
      </w:r>
      <w:r>
        <w:rPr>
          <w:rtl w:val="true"/>
        </w:rPr>
        <w:t>כי אין חשש להישנות עבירות דומות מצד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40" w:start="54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 xml:space="preserve">מהודעתו של הנאשם </w:t>
      </w:r>
      <w:r>
        <w:rPr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 הנאשם החזיק בנשק לצורך הגנה עצמית בלבד</w:t>
      </w:r>
      <w:r>
        <w:rPr>
          <w:rtl w:val="true"/>
        </w:rPr>
        <w:t xml:space="preserve">, </w:t>
      </w:r>
      <w:r>
        <w:rPr>
          <w:rtl w:val="true"/>
        </w:rPr>
        <w:t>זאת בניגוד לטענת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לפיה הנאשם החזיק בנשק מתוך תחושות נקם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מתסקיר שירות המבחן עולה</w:t>
      </w:r>
      <w:r>
        <w:rPr>
          <w:rtl w:val="true"/>
        </w:rPr>
        <w:t xml:space="preserve">, </w:t>
      </w:r>
      <w:r>
        <w:rPr>
          <w:rtl w:val="true"/>
        </w:rPr>
        <w:t>כי המגזר אליו משתייך הנאשם מפחית מחומרת העבירות בהן הורשע</w:t>
      </w:r>
      <w:r>
        <w:rPr>
          <w:rtl w:val="true"/>
        </w:rPr>
        <w:t xml:space="preserve">, </w:t>
      </w:r>
      <w:r>
        <w:rPr>
          <w:rtl w:val="true"/>
        </w:rPr>
        <w:t>משכך אין לראות בנאשם בפרט כמפחית מחומרת העבירות</w:t>
      </w:r>
      <w:r>
        <w:rPr>
          <w:rtl w:val="true"/>
        </w:rPr>
        <w:t xml:space="preserve">, </w:t>
      </w:r>
      <w:r>
        <w:rPr>
          <w:rtl w:val="true"/>
        </w:rPr>
        <w:t>כפי טענת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דברים אלה אינם עולים בקנה אחד עם </w:t>
      </w:r>
      <w:r>
        <w:rPr>
          <w:rtl w:val="true"/>
        </w:rPr>
        <w:t>"</w:t>
      </w:r>
      <w:r>
        <w:rPr>
          <w:rtl w:val="true"/>
        </w:rPr>
        <w:t>רוח התסקיר</w:t>
      </w:r>
      <w:r>
        <w:rPr>
          <w:rtl w:val="true"/>
        </w:rPr>
        <w:t xml:space="preserve">"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הנאשם נטל אחריות מלאה על 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-5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הנאשם החזיק בנשק ובתחמושת למשך תקופה קצרה בת יומיים בלבד</w:t>
      </w:r>
      <w:r>
        <w:rPr>
          <w:rtl w:val="true"/>
        </w:rPr>
        <w:t xml:space="preserve">; </w:t>
      </w:r>
      <w:r>
        <w:rPr>
          <w:rtl w:val="true"/>
        </w:rPr>
        <w:t>בסופו של יום לא נגרם נזק לאף אדם כתוצאה מביצוע העבירות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הנאשם שהה במעצר מאחורי סורג ובריח במשך כחודש ימים</w:t>
      </w:r>
      <w:r>
        <w:rPr>
          <w:rtl w:val="true"/>
        </w:rPr>
        <w:t xml:space="preserve">. </w:t>
      </w:r>
      <w:r>
        <w:rPr>
          <w:rtl w:val="true"/>
        </w:rPr>
        <w:t xml:space="preserve">לאחר מכן שהה במעצר בית מלא במשך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מדובר בנאשם ששמר באדיקות על תנאי מעצר הבית ולא עבר כל עבירה במהלך תקופה זו</w:t>
      </w:r>
      <w:r>
        <w:rPr>
          <w:rtl w:val="true"/>
        </w:rPr>
        <w:t xml:space="preserve">. </w:t>
      </w:r>
      <w:r>
        <w:rPr>
          <w:rtl w:val="true"/>
        </w:rPr>
        <w:t>משפחתו של הנאשם נטלה חלק פעיל בשיקומו וחינוכו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הפנה לפסיקותיו של בית המשפט העליון בעבירות שונות מהן עולה</w:t>
      </w:r>
      <w:r>
        <w:rPr>
          <w:rtl w:val="true"/>
        </w:rPr>
        <w:t xml:space="preserve">, </w:t>
      </w:r>
      <w:r>
        <w:rPr>
          <w:rtl w:val="true"/>
        </w:rPr>
        <w:t>כי שיקולי הענישה השונים כגון שיקולי גמול והרתעה הם שיקולים דינמיים ומשקלם שונה ממקרה למקרה</w:t>
      </w:r>
      <w:r>
        <w:rPr>
          <w:rtl w:val="true"/>
        </w:rPr>
        <w:t xml:space="preserve">. </w:t>
      </w:r>
      <w:r>
        <w:rPr>
          <w:rtl w:val="true"/>
        </w:rPr>
        <w:t>בנוסף מהפסיקה עולה</w:t>
      </w:r>
      <w:r>
        <w:rPr>
          <w:rtl w:val="true"/>
        </w:rPr>
        <w:t xml:space="preserve">, </w:t>
      </w:r>
      <w:r>
        <w:rPr>
          <w:rtl w:val="true"/>
        </w:rPr>
        <w:t>כי גם בעבירות בהן על בית המשפט להטיל מאסר בפועל נמנע בית המשפט מלהטיל ענישה בפועל כדי למנוע את חשיפת הנאשמים לתרבות עבריינית בבית הסוהר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הפנה לת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tl w:val="true"/>
        </w:rPr>
        <w:t>(</w:t>
      </w:r>
      <w:r>
        <w:rPr>
          <w:rtl w:val="true"/>
        </w:rPr>
        <w:t>נצ</w:t>
      </w:r>
      <w:r>
        <w:rPr>
          <w:rtl w:val="true"/>
        </w:rPr>
        <w:t xml:space="preserve">') </w:t>
      </w:r>
      <w:r>
        <w:rPr/>
        <w:t>1111/04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ענאן נעיראת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27.01.05</w:t>
      </w:r>
      <w:r>
        <w:rPr>
          <w:rtl w:val="true"/>
        </w:rPr>
        <w:t xml:space="preserve">) – </w:t>
      </w:r>
      <w:r>
        <w:rPr>
          <w:rtl w:val="true"/>
        </w:rPr>
        <w:t>שם גזר בית המשפט המחוזי בנצרת על נאשם שהחזיק נשק כשנתיים ותקף שוטרים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 שרוצו בעבודות שירות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סבור</w:t>
      </w:r>
      <w:r>
        <w:rPr>
          <w:rtl w:val="true"/>
        </w:rPr>
        <w:t xml:space="preserve">, </w:t>
      </w:r>
      <w:r>
        <w:rPr>
          <w:rtl w:val="true"/>
        </w:rPr>
        <w:t>כי מדובר במקרה חמור מהמקרה עסקינן נוכח משך הזמן הארוך בו החזיק  אותו נאשם בנשק</w:t>
      </w:r>
      <w:r>
        <w:rPr>
          <w:rtl w:val="true"/>
        </w:rPr>
        <w:t xml:space="preserve">, </w:t>
      </w:r>
      <w:r>
        <w:rPr>
          <w:rtl w:val="true"/>
        </w:rPr>
        <w:t>עברו הפלילי והעדר לקיחת אחריות מצידו</w:t>
      </w:r>
      <w:r>
        <w:rPr>
          <w:rtl w:val="true"/>
        </w:rPr>
        <w:t xml:space="preserve">. </w:t>
      </w:r>
      <w:r>
        <w:rPr>
          <w:rtl w:val="true"/>
        </w:rPr>
        <w:t>בנוסף הפנה ב</w:t>
      </w:r>
      <w:r>
        <w:rPr>
          <w:rtl w:val="true"/>
        </w:rPr>
        <w:t>"</w:t>
      </w:r>
      <w:r>
        <w:rPr>
          <w:rtl w:val="true"/>
        </w:rPr>
        <w:t>כ הנאשם לת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tl w:val="true"/>
        </w:rPr>
        <w:t>(</w:t>
      </w:r>
      <w:r>
        <w:rPr>
          <w:rtl w:val="true"/>
        </w:rPr>
        <w:t>נצ</w:t>
      </w:r>
      <w:r>
        <w:rPr>
          <w:rtl w:val="true"/>
        </w:rPr>
        <w:t xml:space="preserve">') </w:t>
      </w:r>
      <w:r>
        <w:rPr/>
        <w:t>1167/02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קאסם בן מוסטפא ע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 xml:space="preserve">אלקאדר דהאמשה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 xml:space="preserve">ניתן ביום </w:t>
      </w:r>
      <w:r>
        <w:rPr>
          <w:b/>
          <w:bCs/>
        </w:rPr>
        <w:t>14</w:t>
      </w:r>
      <w:r>
        <w:rPr/>
        <w:t>.04.03</w:t>
      </w:r>
      <w:r>
        <w:rPr>
          <w:rtl w:val="true"/>
        </w:rPr>
        <w:t xml:space="preserve">) - </w:t>
      </w:r>
      <w:r>
        <w:rPr>
          <w:rtl w:val="true"/>
        </w:rPr>
        <w:t>שם נמנע בית המשפט המחוזי בנצרת מלגזור על הנאשם מאסר בפועל נוכח נסיבותיו האישיות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תשובת המאשימה </w:t>
      </w:r>
    </w:p>
    <w:p>
      <w:pPr>
        <w:pStyle w:val="Normal"/>
        <w:spacing w:lineRule="auto" w:line="360"/>
        <w:ind w:start="-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באשר לטענת ב</w:t>
      </w:r>
      <w:r>
        <w:rPr>
          <w:rtl w:val="true"/>
        </w:rPr>
        <w:t>"</w:t>
      </w:r>
      <w:r>
        <w:rPr>
          <w:rtl w:val="true"/>
        </w:rPr>
        <w:t>כ הנאשם אודות משך תקופת מעצר הבית</w:t>
      </w:r>
      <w:r>
        <w:rPr>
          <w:rtl w:val="true"/>
        </w:rPr>
        <w:t xml:space="preserve">, </w:t>
      </w:r>
      <w:r>
        <w:rPr>
          <w:rtl w:val="true"/>
        </w:rPr>
        <w:t>מסר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 xml:space="preserve">כי במהלך חודש מאי </w:t>
      </w:r>
      <w:r>
        <w:rPr>
          <w:rtl w:val="true"/>
        </w:rPr>
        <w:t>(</w:t>
      </w:r>
      <w:r>
        <w:rPr/>
        <w:t>03.05.12</w:t>
      </w:r>
      <w:r>
        <w:rPr>
          <w:rtl w:val="true"/>
        </w:rPr>
        <w:t xml:space="preserve">) </w:t>
      </w:r>
      <w:r>
        <w:rPr>
          <w:rtl w:val="true"/>
        </w:rPr>
        <w:t>הותר לנאשם לצאת ללימודים בימי שני ורביעי בשבוע</w:t>
      </w:r>
      <w:r>
        <w:rPr>
          <w:rtl w:val="true"/>
        </w:rPr>
        <w:t xml:space="preserve">; </w:t>
      </w:r>
      <w:r>
        <w:rPr>
          <w:rtl w:val="true"/>
        </w:rPr>
        <w:t xml:space="preserve">ארבעה ימים לאחר מכן  </w:t>
      </w:r>
      <w:r>
        <w:rPr>
          <w:rtl w:val="true"/>
        </w:rPr>
        <w:t>(</w:t>
      </w:r>
      <w:r>
        <w:rPr/>
        <w:t>07.05.12</w:t>
      </w:r>
      <w:r>
        <w:rPr>
          <w:rtl w:val="true"/>
        </w:rPr>
        <w:t xml:space="preserve">) </w:t>
      </w:r>
      <w:r>
        <w:rPr>
          <w:rtl w:val="true"/>
        </w:rPr>
        <w:t>הותר לנאשם לצאת בימי שלישי ושבת בשבוע</w:t>
      </w:r>
      <w:r>
        <w:rPr>
          <w:rtl w:val="true"/>
        </w:rPr>
        <w:t xml:space="preserve">. </w:t>
      </w:r>
      <w:r>
        <w:rPr>
          <w:rtl w:val="true"/>
        </w:rPr>
        <w:t xml:space="preserve">החל מיום </w:t>
      </w:r>
      <w:r>
        <w:rPr/>
        <w:t>13.05.12</w:t>
      </w:r>
      <w:r>
        <w:rPr>
          <w:rtl w:val="true"/>
        </w:rPr>
        <w:t xml:space="preserve"> </w:t>
      </w:r>
      <w:r>
        <w:rPr>
          <w:rtl w:val="true"/>
        </w:rPr>
        <w:t>הותר לנאשם לצאת גם בימי שישי בשבוע</w:t>
      </w:r>
      <w:r>
        <w:rPr>
          <w:rtl w:val="true"/>
        </w:rPr>
        <w:t xml:space="preserve">. </w:t>
      </w:r>
      <w:r>
        <w:rPr>
          <w:rtl w:val="true"/>
        </w:rPr>
        <w:t xml:space="preserve">במהלך החודשים ספטמבר ואוקטובר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 xml:space="preserve">הותר לנאשם לצאת מידי שישי ושבת ללימודים משעה </w:t>
      </w:r>
      <w:r>
        <w:rPr/>
        <w:t>08:30-17:30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-54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לגבי הפסיקה אליה הפנה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טען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כי במרבית המקרים אם לא בכולם מדובר בנסיבות שונות של הודאה בכתב האישום ונטילת אחריות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בתסקיר שירות המבחן אין אינדיקציה לכך</w:t>
      </w:r>
      <w:r>
        <w:rPr>
          <w:rtl w:val="true"/>
        </w:rPr>
        <w:t xml:space="preserve">, </w:t>
      </w:r>
      <w:r>
        <w:rPr>
          <w:rtl w:val="true"/>
        </w:rPr>
        <w:t>שהנאשם היה בטיפול של שירות המבחן</w:t>
      </w:r>
      <w:r>
        <w:rPr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 xml:space="preserve">דברי הנאשם </w:t>
      </w:r>
    </w:p>
    <w:p>
      <w:pPr>
        <w:pStyle w:val="Normal"/>
        <w:spacing w:lineRule="auto" w:line="360"/>
        <w:ind w:start="-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הנאשם התנצל</w:t>
      </w:r>
      <w:r>
        <w:rPr>
          <w:rtl w:val="true"/>
        </w:rPr>
        <w:t xml:space="preserve">, </w:t>
      </w:r>
      <w:r>
        <w:rPr>
          <w:rtl w:val="true"/>
        </w:rPr>
        <w:t xml:space="preserve">אמר שטעה ולמד לקח </w:t>
      </w:r>
      <w:r>
        <w:rPr>
          <w:rtl w:val="true"/>
        </w:rPr>
        <w:t>"</w:t>
      </w:r>
      <w:r>
        <w:rPr>
          <w:rtl w:val="true"/>
        </w:rPr>
        <w:t>לכל החיים</w:t>
      </w:r>
      <w:r>
        <w:rPr>
          <w:rtl w:val="true"/>
        </w:rPr>
        <w:t xml:space="preserve">";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 xml:space="preserve">היה בקשר עם קצין מבחן בתקופת מעצר הבית והשתתף בקבוצה טיפולית פעם בשבוע במשך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-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אביו של הנאשם ביקש ליתן לבנו הזדמנות נוספת והבטיח לסייע 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 xml:space="preserve">דיון והכרעה </w:t>
      </w:r>
    </w:p>
    <w:p>
      <w:pPr>
        <w:pStyle w:val="Normal"/>
        <w:spacing w:lineRule="auto" w:line="360"/>
        <w:ind w:start="-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הנאשם חטא בעבירות חמורות</w:t>
      </w:r>
      <w:r>
        <w:rPr>
          <w:rtl w:val="true"/>
        </w:rPr>
        <w:t xml:space="preserve">. </w:t>
      </w:r>
      <w:r>
        <w:rPr>
          <w:rtl w:val="true"/>
        </w:rPr>
        <w:t>הוא רכש נשק ותחמושת</w:t>
      </w:r>
      <w:r>
        <w:rPr>
          <w:rtl w:val="true"/>
        </w:rPr>
        <w:t xml:space="preserve">, </w:t>
      </w:r>
      <w:r>
        <w:rPr>
          <w:rtl w:val="true"/>
        </w:rPr>
        <w:t>החזיקם</w:t>
      </w:r>
      <w:r>
        <w:rPr>
          <w:rtl w:val="true"/>
        </w:rPr>
        <w:t xml:space="preserve">, </w:t>
      </w:r>
      <w:r>
        <w:rPr>
          <w:rtl w:val="true"/>
        </w:rPr>
        <w:t>נשאם והובילם ברכב שלא כדין ועשה מעשה בכוונה להפריע לשוטר כשהוא ממלא תפקידו כחוק</w:t>
      </w:r>
      <w:r>
        <w:rPr>
          <w:rtl w:val="true"/>
        </w:rPr>
        <w:t xml:space="preserve">; </w:t>
      </w:r>
      <w:r>
        <w:rPr>
          <w:rtl w:val="true"/>
        </w:rPr>
        <w:t>כן נהג הנאשם ברכב בדרך נמהרת או רשלנית שיש בה כדי לסכן חיי 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-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בעבירה של החזקת נשק טמון פוטנציאל הרסני</w:t>
      </w:r>
      <w:r>
        <w:rPr>
          <w:rtl w:val="true"/>
        </w:rPr>
        <w:t xml:space="preserve">, </w:t>
      </w:r>
      <w:r>
        <w:rPr>
          <w:rtl w:val="true"/>
        </w:rPr>
        <w:t>שכן לרוב עבירה זו מבוצעת כדי לאפשר ביצוען של עבירות אחרות</w:t>
      </w:r>
      <w:r>
        <w:rPr>
          <w:rtl w:val="true"/>
        </w:rPr>
        <w:t xml:space="preserve">. </w:t>
      </w:r>
      <w:r>
        <w:rPr>
          <w:rtl w:val="true"/>
        </w:rPr>
        <w:t>ניסיון החיים מלמד</w:t>
      </w:r>
      <w:r>
        <w:rPr>
          <w:rtl w:val="true"/>
        </w:rPr>
        <w:t xml:space="preserve">, </w:t>
      </w:r>
      <w:r>
        <w:rPr>
          <w:rtl w:val="true"/>
        </w:rPr>
        <w:t>לצערנו</w:t>
      </w:r>
      <w:r>
        <w:rPr>
          <w:rtl w:val="true"/>
        </w:rPr>
        <w:t xml:space="preserve">, </w:t>
      </w:r>
      <w:r>
        <w:rPr>
          <w:rtl w:val="true"/>
        </w:rPr>
        <w:t>כי לרוב בנשק אשר מוחזק על ידי מי שאינו מורשה להחזיקו</w:t>
      </w:r>
      <w:r>
        <w:rPr>
          <w:rtl w:val="true"/>
        </w:rPr>
        <w:t xml:space="preserve">, </w:t>
      </w:r>
      <w:r>
        <w:rPr>
          <w:rtl w:val="true"/>
        </w:rPr>
        <w:t>נעשה שימוש לפעילות עבריינית</w:t>
      </w:r>
      <w:r>
        <w:rPr>
          <w:rtl w:val="true"/>
        </w:rPr>
        <w:t xml:space="preserve">, </w:t>
      </w:r>
      <w:r>
        <w:rPr>
          <w:rtl w:val="true"/>
        </w:rPr>
        <w:t>העלולה לסכן עוברי אורח תמימים</w:t>
      </w:r>
      <w:r>
        <w:rPr>
          <w:rtl w:val="true"/>
        </w:rPr>
        <w:t xml:space="preserve">. </w:t>
      </w:r>
      <w:r>
        <w:rPr>
          <w:rtl w:val="true"/>
        </w:rPr>
        <w:t>הנשק אף עשוי למצוא דרכו למפגעים למיניהם ופגיעתו עלולה להיות הרת אסון</w:t>
      </w:r>
      <w:r>
        <w:rPr>
          <w:rtl w:val="true"/>
        </w:rPr>
        <w:t xml:space="preserve">. </w:t>
      </w:r>
      <w:r>
        <w:rPr>
          <w:rtl w:val="true"/>
        </w:rPr>
        <w:t>ההסלמה שחלה בעבירות נשק בשנים האחרונות וזמינותם של כלי הנשק</w:t>
      </w:r>
      <w:r>
        <w:rPr>
          <w:rtl w:val="true"/>
        </w:rPr>
        <w:t xml:space="preserve">, </w:t>
      </w:r>
      <w:r>
        <w:rPr>
          <w:rtl w:val="true"/>
        </w:rPr>
        <w:t xml:space="preserve">מערערים את הסדר החברתי ופוגעים בתחושת הביטחון האישי של אזרחי המדינה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4797/05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חאמד עבד אל קאדר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לעניין זה יפים הדברים שנאמרו 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22.02.07</w:t>
      </w:r>
      <w:r>
        <w:rPr>
          <w:rtl w:val="true"/>
        </w:rPr>
        <w:t xml:space="preserve">): 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5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ניסיון השנים האחרונות מלמד שנשק המוחזק שלא כדין מוצא את דרכו לעיתים לידיים עוינות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ולעיתים נעשה בו שימש למטרות פליליות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ואלה גם אלה כבר גרמו לא אחת לאובדן חיי 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ולפגיעה בחפים מפשע שכל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חטאם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נבע מכך שהם נקלעו בדרך מקרה לזירת הפשע</w:t>
      </w:r>
      <w:r>
        <w:rPr>
          <w:b/>
          <w:bCs/>
          <w:rtl w:val="true"/>
        </w:rPr>
        <w:t xml:space="preserve">".  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 xml:space="preserve">וראו גם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6371/11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אנס הייבי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18.12.11</w:t>
      </w:r>
      <w:r>
        <w:rPr>
          <w:rtl w:val="true"/>
        </w:rPr>
        <w:t xml:space="preserve">), </w:t>
      </w:r>
      <w:r>
        <w:rPr>
          <w:rtl w:val="true"/>
        </w:rPr>
        <w:t>שם נפסק כי</w:t>
      </w:r>
      <w:r>
        <w:rPr>
          <w:rtl w:val="true"/>
        </w:rPr>
        <w:t xml:space="preserve">: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 בנשק חומרתן מכופלת</w:t>
      </w:r>
      <w:r>
        <w:rPr>
          <w:b/>
          <w:bCs/>
          <w:rtl w:val="true"/>
        </w:rPr>
        <w:t>,</w:t>
      </w:r>
      <w:r>
        <w:rPr>
          <w:b/>
          <w:b/>
          <w:bCs/>
          <w:rtl w:val="true"/>
        </w:rPr>
        <w:t>הן בעצם המעבר על החוק והן ובמוטעם במאטריה הספציפית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נשק שאינו 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קרי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ברישיון כדבעי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מועד לפורענות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זכורה האמירה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 ראית במחזה תיאטרון אקדח במערכה הראשונה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סופו שיירה במערכה השניה או השלישית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הימצאו של נשק בידיים לא נכונות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עלול להביא בסופו של יום אף לקיפוד חיי אדם ר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מדיניות הענישה הנהוגה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עיון בפסיקת בית המשפט העליון מעלה</w:t>
      </w:r>
      <w:r>
        <w:rPr>
          <w:rtl w:val="true"/>
        </w:rPr>
        <w:t xml:space="preserve">, </w:t>
      </w:r>
      <w:r>
        <w:rPr>
          <w:rtl w:val="true"/>
        </w:rPr>
        <w:t>כי בשנים האחרונות ניכרת מגמת החמרה בעונשי המאסר הנגזרים על נאשמים בעבירות נשק נוכח היקפן המתרחב והצורך בבלימתן של עבירות אלה</w:t>
      </w:r>
      <w:r>
        <w:rPr>
          <w:rtl w:val="true"/>
        </w:rPr>
        <w:t xml:space="preserve">. </w:t>
      </w:r>
      <w:r>
        <w:rPr>
          <w:rtl w:val="true"/>
        </w:rPr>
        <w:t>בשורה ארוכה של פסקי דין נקבע</w:t>
      </w:r>
      <w:r>
        <w:rPr>
          <w:rtl w:val="true"/>
        </w:rPr>
        <w:t xml:space="preserve">, </w:t>
      </w:r>
      <w:r>
        <w:rPr>
          <w:rtl w:val="true"/>
        </w:rPr>
        <w:t>כי הגיעה העת להחמיר בעונשיהם של נאשמים המורשעים בעבירות בנשק</w:t>
      </w:r>
      <w:r>
        <w:rPr>
          <w:rtl w:val="true"/>
        </w:rPr>
        <w:t xml:space="preserve">, </w:t>
      </w:r>
      <w:r>
        <w:rPr>
          <w:rtl w:val="true"/>
        </w:rPr>
        <w:t xml:space="preserve">על ידי הטלת ענישה מכאיבה שעיקרה שיקולי גמול והרתעה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6985/12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כאמל נפאפעה אחמד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17.03.13</w:t>
      </w:r>
      <w:r>
        <w:rPr>
          <w:rtl w:val="true"/>
        </w:rPr>
        <w:t xml:space="preserve">,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5120/11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בילאל שתיווי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12.12.11</w:t>
      </w:r>
      <w:r>
        <w:rPr>
          <w:rtl w:val="true"/>
        </w:rPr>
        <w:t xml:space="preserve">,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26.10.11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-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 xml:space="preserve">חשוב לזכור כי אף תגובה עונשית הולמת צריכה להיות שקולה ומדודה בהתחשב בענישה המקובלת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פ </w:t>
      </w:r>
      <w:r>
        <w:rPr>
          <w:color w:val="000000"/>
        </w:rPr>
        <w:t>555/11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 </w:t>
      </w:r>
      <w:r>
        <w:rPr/>
        <w:t>9.7.2012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עניין 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tl w:val="true"/>
        </w:rPr>
        <w:t xml:space="preserve">). </w:t>
      </w:r>
      <w:r>
        <w:rPr>
          <w:rtl w:val="true"/>
        </w:rPr>
        <w:t>העלאת רף הענישה צריכה להיעשות בצורה הדרגתית</w:t>
      </w:r>
      <w:r>
        <w:rPr>
          <w:rtl w:val="true"/>
        </w:rPr>
        <w:t xml:space="preserve">, </w:t>
      </w:r>
      <w:r>
        <w:rPr>
          <w:rtl w:val="true"/>
        </w:rPr>
        <w:t>תוך בחינה של רף הענישה הנוהג</w:t>
      </w:r>
      <w:r>
        <w:rPr>
          <w:rtl w:val="true"/>
        </w:rPr>
        <w:t xml:space="preserve">, </w:t>
      </w:r>
      <w:r>
        <w:rPr>
          <w:rtl w:val="true"/>
        </w:rPr>
        <w:t xml:space="preserve">הן ביחס לעבירות הקונקרטיות שלפני בית המשפט והן ביחס לעבירות אחרות בדין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ותד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 xml:space="preserve">ניתן ביום </w:t>
      </w:r>
      <w:r>
        <w:rPr/>
        <w:t>14.9.2011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1" w:name="_GoBack"/>
      <w:bookmarkStart w:id="12" w:name="_GoBack"/>
      <w:bookmarkEnd w:id="12"/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 xml:space="preserve">עבירות הנשק </w:t>
      </w:r>
      <w:r>
        <w:rPr>
          <w:rtl w:val="true"/>
        </w:rPr>
        <w:t>(</w:t>
      </w:r>
      <w:r>
        <w:rPr>
          <w:rtl w:val="true"/>
        </w:rPr>
        <w:t xml:space="preserve">המנויות במסגרת סעיפי המשנה </w:t>
      </w:r>
      <w:hyperlink r:id="rId36">
        <w:r>
          <w:rPr>
            <w:rStyle w:val="Hyperlink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אינן עשויות מקשה אחת</w:t>
      </w:r>
      <w:r>
        <w:rPr>
          <w:rtl w:val="true"/>
        </w:rPr>
        <w:t xml:space="preserve">. </w:t>
      </w:r>
      <w:r>
        <w:rPr>
          <w:rtl w:val="true"/>
        </w:rPr>
        <w:t>המחוקק דירג את העבירות על</w:t>
      </w:r>
      <w:r>
        <w:rPr>
          <w:rtl w:val="true"/>
        </w:rPr>
        <w:t>-</w:t>
      </w:r>
      <w:r>
        <w:rPr>
          <w:rtl w:val="true"/>
        </w:rPr>
        <w:t>פי חומרתן היחסית</w:t>
      </w:r>
      <w:r>
        <w:rPr>
          <w:rtl w:val="true"/>
        </w:rPr>
        <w:t xml:space="preserve">, </w:t>
      </w:r>
      <w:r>
        <w:rPr>
          <w:rtl w:val="true"/>
        </w:rPr>
        <w:t>כשברף התחתון ניצבת עבירת החזקה או רכישת נשק שלא כדין</w:t>
      </w:r>
      <w:r>
        <w:rPr>
          <w:rtl w:val="true"/>
        </w:rPr>
        <w:t xml:space="preserve">, </w:t>
      </w:r>
      <w:r>
        <w:rPr>
          <w:rtl w:val="true"/>
        </w:rPr>
        <w:t>וברף העליון מצויה העבירה של ייצור</w:t>
      </w:r>
      <w:r>
        <w:rPr>
          <w:rtl w:val="true"/>
        </w:rPr>
        <w:t xml:space="preserve">, </w:t>
      </w:r>
      <w:r>
        <w:rPr>
          <w:rtl w:val="true"/>
        </w:rPr>
        <w:t>ייבוא או סחר בנשק</w:t>
      </w:r>
      <w:r>
        <w:rPr>
          <w:rtl w:val="true"/>
        </w:rPr>
        <w:t xml:space="preserve">. </w:t>
      </w:r>
      <w:r>
        <w:rPr>
          <w:rtl w:val="true"/>
        </w:rPr>
        <w:t xml:space="preserve">בטווח שבין עבירות אלה מצויה עבירת נשיאת הנשק הקבועה </w:t>
      </w:r>
      <w:hyperlink r:id="rId38">
        <w:r>
          <w:rPr>
            <w:rStyle w:val="Hyperlink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ובצידה עונש מאסר מקסימאלי של עשר שנות מאסר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גם בעבירות הנשק ראוי</w:t>
      </w:r>
      <w:r>
        <w:rPr>
          <w:rtl w:val="true"/>
        </w:rPr>
        <w:t xml:space="preserve">, </w:t>
      </w:r>
      <w:r>
        <w:rPr>
          <w:rtl w:val="true"/>
        </w:rPr>
        <w:t xml:space="preserve">כי יישמר מדרג ענישה אשר ייתן ביטוי הולם </w:t>
      </w:r>
      <w:r>
        <w:rPr>
          <w:rtl w:val="true"/>
        </w:rPr>
        <w:t>(</w:t>
      </w:r>
      <w:r>
        <w:rPr>
          <w:rtl w:val="true"/>
        </w:rPr>
        <w:t>ופרופורציונאלי</w:t>
      </w:r>
      <w:r>
        <w:rPr>
          <w:rtl w:val="true"/>
        </w:rPr>
        <w:t xml:space="preserve">) </w:t>
      </w:r>
      <w:r>
        <w:rPr>
          <w:rtl w:val="true"/>
        </w:rPr>
        <w:t xml:space="preserve">לחומרתה של העבירה שבנדון וכן לנסיבות ביצועה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8488/11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חוסיין חליל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ניתן ביום </w:t>
      </w:r>
      <w:r>
        <w:rPr/>
        <w:t>01.11.12</w:t>
      </w:r>
      <w:r>
        <w:rPr>
          <w:rtl w:val="true"/>
        </w:rPr>
        <w:t xml:space="preserve">). </w:t>
      </w:r>
      <w:r>
        <w:rPr>
          <w:rtl w:val="true"/>
        </w:rPr>
        <w:t>הפסיקה הטילה עונשים חמורים בעבירות של החזקת נשק שלא כדין בהתאם למניע שעמד מאחורי החזקת הנשק</w:t>
      </w:r>
      <w:r>
        <w:rPr>
          <w:rtl w:val="true"/>
        </w:rPr>
        <w:t xml:space="preserve">. </w:t>
      </w:r>
      <w:r>
        <w:rPr>
          <w:rtl w:val="true"/>
        </w:rPr>
        <w:t>בבש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625/82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חלמי אבו מוך בן עבדול רמחן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עניין אבו מוך</w:t>
      </w:r>
      <w:r>
        <w:rPr>
          <w:rtl w:val="true"/>
        </w:rPr>
        <w:t xml:space="preserve">") </w:t>
      </w:r>
      <w:r>
        <w:rPr>
          <w:rtl w:val="true"/>
        </w:rPr>
        <w:t>ערך כב</w:t>
      </w:r>
      <w:r>
        <w:rPr>
          <w:rtl w:val="true"/>
        </w:rPr>
        <w:t xml:space="preserve">' </w:t>
      </w:r>
      <w:r>
        <w:rPr>
          <w:rtl w:val="true"/>
        </w:rPr>
        <w:t>השופט ג</w:t>
      </w:r>
      <w:r>
        <w:rPr>
          <w:rtl w:val="true"/>
        </w:rPr>
        <w:t xml:space="preserve">' </w:t>
      </w:r>
      <w:r>
        <w:rPr>
          <w:rtl w:val="true"/>
        </w:rPr>
        <w:t>בך מדרג של חומרת עבירת החזקת נשק בהתאם לנסיבות ביצועה 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1106" w:end="900"/>
        <w:jc w:val="both"/>
        <w:outlineLvl w:val="0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החזקת הנשק לשם ביצוע מעשים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המיועדים לפגוע בביטחון המדינה או בביטחון הציבור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1106" w:end="90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1106" w:end="900"/>
        <w:jc w:val="both"/>
        <w:outlineLvl w:val="0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החזקת הנשק לשם ביצוע עבירה פלילית ספציפית כגון רצח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התפרצות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תקיפה וכו</w:t>
      </w:r>
      <w:r>
        <w:rPr>
          <w:b/>
          <w:bCs/>
          <w:rtl w:val="true"/>
        </w:rPr>
        <w:t>'.</w:t>
      </w:r>
    </w:p>
    <w:p>
      <w:pPr>
        <w:pStyle w:val="Normal"/>
        <w:spacing w:lineRule="auto" w:line="360"/>
        <w:ind w:start="1106" w:end="90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106" w:end="90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 xml:space="preserve">החזקת הנשק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לעת מצוא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כדי לאפשר פעילות פלילית אפשרית בעתיד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1106" w:end="90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106" w:end="900"/>
        <w:jc w:val="both"/>
        <w:rPr>
          <w:b/>
          <w:bCs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צבירת נשק 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ידי קבוצה פוליטית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עדתית או אידיאולוגית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במטרה לחזק בדרך זו את כוחה כנגד קבוצות יריבות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1106" w:end="90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106" w:end="900"/>
        <w:jc w:val="both"/>
        <w:rPr>
          <w:b/>
          <w:bCs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החזקת הנשק לצורך הגנה עצמית או לצורך הגנה על 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המשפחה או 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חמולה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אליהם הנאשם משתייך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1106" w:end="90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106" w:end="900"/>
        <w:jc w:val="both"/>
        <w:rPr>
          <w:b/>
          <w:bCs/>
        </w:rPr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החזקת כלי הנשק לצורך ספורט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ציד או שעשוע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106" w:end="900"/>
        <w:jc w:val="both"/>
        <w:rPr>
          <w:b/>
          <w:bCs/>
        </w:rPr>
      </w:pP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החזקת כלי נשק 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ידי הנאשם בתור מזכרת או כאספן של כלים כאלה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1106" w:end="90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106" w:end="900"/>
        <w:jc w:val="both"/>
        <w:rPr>
          <w:b/>
          <w:bCs/>
        </w:rPr>
      </w:pP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החזקת כלי 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שפג תוקף רישיונו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והנאשם נמנע מלחדש את הרישיון בעתו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הדברים שנפסקו בעניין אבו מוך נוגעים אמנם לעניין מסוכנות העבירה לצרכי הליך של מעצר עד תום ההליכים</w:t>
      </w:r>
      <w:r>
        <w:rPr>
          <w:rtl w:val="true"/>
        </w:rPr>
        <w:t xml:space="preserve">, </w:t>
      </w:r>
      <w:r>
        <w:rPr>
          <w:rtl w:val="true"/>
        </w:rPr>
        <w:t>אך ב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3300/06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סולטאן אבו סנינה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הרחיב בית המשפט העליון את תחולת המדרג הנ</w:t>
      </w:r>
      <w:r>
        <w:rPr>
          <w:rtl w:val="true"/>
        </w:rPr>
        <w:t>"</w:t>
      </w:r>
      <w:r>
        <w:rPr>
          <w:rtl w:val="true"/>
        </w:rPr>
        <w:t>ל גם לשאלת הענישה בתיק העיקרי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start="-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לצורך 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>יובאו להלן מספר פסקי דין נוספים המשקפים את מדיניות הענישה הנהוגה בעבירה של החזקת 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40" w:start="108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tl w:val="true"/>
        </w:rPr>
        <w:t>(</w:t>
      </w:r>
      <w:r>
        <w:rPr>
          <w:rtl w:val="true"/>
        </w:rPr>
        <w:t>נצ</w:t>
      </w:r>
      <w:r>
        <w:rPr>
          <w:rtl w:val="true"/>
        </w:rPr>
        <w:t xml:space="preserve">') </w:t>
      </w:r>
      <w:r>
        <w:rPr/>
        <w:t>1111/04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ענאן נעיראת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27.01.05</w:t>
      </w:r>
      <w:r>
        <w:rPr>
          <w:rtl w:val="true"/>
        </w:rPr>
        <w:t xml:space="preserve">) -  </w:t>
      </w:r>
      <w:r>
        <w:rPr>
          <w:rtl w:val="true"/>
        </w:rPr>
        <w:t>הנאשם הורשע על</w:t>
      </w:r>
      <w:r>
        <w:rPr>
          <w:rtl w:val="true"/>
        </w:rPr>
        <w:t>-</w:t>
      </w:r>
      <w:r>
        <w:rPr>
          <w:rtl w:val="true"/>
        </w:rPr>
        <w:t xml:space="preserve">פי הודאתו בעבירות נשק </w:t>
      </w:r>
      <w:r>
        <w:rPr>
          <w:rtl w:val="true"/>
        </w:rPr>
        <w:t>(</w:t>
      </w:r>
      <w:r>
        <w:rPr>
          <w:rtl w:val="true"/>
        </w:rPr>
        <w:t>רכישה</w:t>
      </w:r>
      <w:r>
        <w:rPr>
          <w:rtl w:val="true"/>
        </w:rPr>
        <w:t xml:space="preserve">, </w:t>
      </w:r>
      <w:r>
        <w:rPr>
          <w:rtl w:val="true"/>
        </w:rPr>
        <w:t>החזקה ונשיאה</w:t>
      </w:r>
      <w:r>
        <w:rPr>
          <w:rtl w:val="true"/>
        </w:rPr>
        <w:t xml:space="preserve">) </w:t>
      </w:r>
      <w:r>
        <w:rPr>
          <w:rtl w:val="true"/>
        </w:rPr>
        <w:t xml:space="preserve">עבירה לפי </w:t>
      </w:r>
      <w:hyperlink r:id="rId42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וסיפא </w:t>
      </w:r>
      <w:r>
        <w:rPr>
          <w:rtl w:val="true"/>
        </w:rPr>
        <w:t xml:space="preserve">+ </w:t>
      </w:r>
      <w:hyperlink r:id="rId43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 ל</w:t>
      </w:r>
      <w:hyperlink r:id="rId44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תקיפת שוטר וניסיון לתקיפת שוטרים</w:t>
      </w:r>
      <w:r>
        <w:rPr>
          <w:rtl w:val="true"/>
        </w:rPr>
        <w:t xml:space="preserve">. </w:t>
      </w:r>
      <w:r>
        <w:rPr>
          <w:rtl w:val="true"/>
        </w:rPr>
        <w:t xml:space="preserve">בית במשפט המחוזי בנצרת גזר על הנאשם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 שירוצו בעבודות שירות וענישה נלווית</w:t>
      </w:r>
      <w:r>
        <w:rPr>
          <w:rtl w:val="true"/>
        </w:rPr>
        <w:t xml:space="preserve">. </w:t>
      </w:r>
      <w:r>
        <w:rPr>
          <w:rtl w:val="true"/>
        </w:rPr>
        <w:t xml:space="preserve">מדובר בנאשם צעיר אשר החזיק בנשק ובתחמושת זמן ממושך </w:t>
      </w:r>
      <w:r>
        <w:rPr>
          <w:rtl w:val="true"/>
        </w:rPr>
        <w:t>(</w:t>
      </w:r>
      <w:r>
        <w:rPr>
          <w:rtl w:val="true"/>
        </w:rPr>
        <w:t>למעלה משנתיים טרם הגשת כתב אישום</w:t>
      </w:r>
      <w:r>
        <w:rPr>
          <w:rtl w:val="true"/>
        </w:rPr>
        <w:t xml:space="preserve">) </w:t>
      </w:r>
      <w:r>
        <w:rPr>
          <w:rtl w:val="true"/>
        </w:rPr>
        <w:t>לשם הגנה עצמית</w:t>
      </w:r>
      <w:r>
        <w:rPr>
          <w:rtl w:val="true"/>
        </w:rPr>
        <w:t xml:space="preserve">. </w:t>
      </w:r>
      <w:r>
        <w:rPr>
          <w:rtl w:val="true"/>
        </w:rPr>
        <w:t xml:space="preserve">לחובתו של הנאשם עבר פלילי </w:t>
      </w:r>
      <w:r>
        <w:rPr>
          <w:rtl w:val="true"/>
        </w:rPr>
        <w:t>(</w:t>
      </w:r>
      <w:r>
        <w:rPr>
          <w:rtl w:val="true"/>
        </w:rPr>
        <w:t>מהיותו נער</w:t>
      </w:r>
      <w:r>
        <w:rPr>
          <w:rtl w:val="true"/>
        </w:rPr>
        <w:t xml:space="preserve">) </w:t>
      </w:r>
      <w:r>
        <w:rPr>
          <w:rtl w:val="true"/>
        </w:rPr>
        <w:t>שאינו כרוך בשימוש או החזקת נשק</w:t>
      </w:r>
      <w:r>
        <w:rPr>
          <w:rtl w:val="true"/>
        </w:rPr>
        <w:t xml:space="preserve">. </w:t>
      </w:r>
      <w:r>
        <w:rPr>
          <w:rtl w:val="true"/>
        </w:rPr>
        <w:t>בפני שירות המבחן נטל הנאשם אחריות בגין עבירת הנשק אך התקשה לקחת אחריות בגין עבירת תקיפת השוטרים</w:t>
      </w:r>
      <w:r>
        <w:rPr>
          <w:rtl w:val="true"/>
        </w:rPr>
        <w:t xml:space="preserve">. </w:t>
      </w:r>
      <w:r>
        <w:rPr>
          <w:rtl w:val="true"/>
        </w:rPr>
        <w:t>שירות המבחן התקשה לבוא בהמלצה טיפולית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 מקרה זה דומה מאוד מבחינה עובדתית למקרה שלפני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4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tl w:val="true"/>
        </w:rPr>
        <w:t>(</w:t>
      </w:r>
      <w:r>
        <w:rPr>
          <w:rtl w:val="true"/>
        </w:rPr>
        <w:t>נצ</w:t>
      </w:r>
      <w:r>
        <w:rPr>
          <w:rtl w:val="true"/>
        </w:rPr>
        <w:t xml:space="preserve">') </w:t>
      </w:r>
      <w:r>
        <w:rPr/>
        <w:t>1167/02</w:t>
      </w:r>
      <w:r>
        <w:rPr>
          <w:rtl w:val="true"/>
        </w:rPr>
        <w:t xml:space="preserve"> 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קאסם בן מוסטפא ע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אלקאדר דהאמשה</w:t>
      </w:r>
      <w:r>
        <w:rPr>
          <w:rtl w:val="true"/>
        </w:rPr>
        <w:t xml:space="preserve"> – הנאשם הורשע על</w:t>
      </w:r>
      <w:r>
        <w:rPr>
          <w:rtl w:val="true"/>
        </w:rPr>
        <w:t>-</w:t>
      </w:r>
      <w:r>
        <w:rPr>
          <w:rtl w:val="true"/>
        </w:rPr>
        <w:t xml:space="preserve">פי הודאתו בעבירה בניגוד </w:t>
      </w:r>
      <w:hyperlink r:id="rId45">
        <w:r>
          <w:rPr>
            <w:rStyle w:val="Hyperlink"/>
            <w:rtl w:val="true"/>
          </w:rPr>
          <w:t xml:space="preserve">לסעיף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6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. </w:t>
      </w:r>
      <w:r>
        <w:rPr>
          <w:rtl w:val="true"/>
        </w:rPr>
        <w:t>הנאשם רכש מאחר אקדח ומחסנית</w:t>
      </w:r>
      <w:r>
        <w:rPr>
          <w:rtl w:val="true"/>
        </w:rPr>
        <w:t xml:space="preserve">, </w:t>
      </w:r>
      <w:r>
        <w:rPr>
          <w:rtl w:val="true"/>
        </w:rPr>
        <w:t>הסתיר את הנשק בביתו ביום קבלתו ובמועד אחר סמוך נסע עם המוכר ליער שם לימדוֹ האחר להשתמש בנשק</w:t>
      </w:r>
      <w:r>
        <w:rPr>
          <w:rtl w:val="true"/>
        </w:rPr>
        <w:t xml:space="preserve">; </w:t>
      </w:r>
      <w:r>
        <w:rPr>
          <w:rtl w:val="true"/>
        </w:rPr>
        <w:t xml:space="preserve">הנאשם הזמין מאותו אחר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הנאשם טען את המחסנית</w:t>
      </w:r>
      <w:r>
        <w:rPr>
          <w:rtl w:val="true"/>
        </w:rPr>
        <w:t xml:space="preserve">, </w:t>
      </w:r>
      <w:r>
        <w:rPr>
          <w:rtl w:val="true"/>
        </w:rPr>
        <w:t>הטמין את הנשק והתחמושת ובמועד אחר הוציא את הנשק ממחבואו והסתירו במרפאתו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בנצרת גזר על הנאשם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מתוכם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 והיתרה על תנאי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 הנאשם</w:t>
      </w:r>
      <w:r>
        <w:rPr>
          <w:rtl w:val="true"/>
        </w:rPr>
        <w:t xml:space="preserve">, </w:t>
      </w:r>
      <w:r>
        <w:rPr>
          <w:rtl w:val="true"/>
        </w:rPr>
        <w:t>שהנו רופא במקצועו</w:t>
      </w:r>
      <w:r>
        <w:rPr>
          <w:rtl w:val="true"/>
        </w:rPr>
        <w:t xml:space="preserve">, </w:t>
      </w:r>
      <w:r>
        <w:rPr>
          <w:rtl w:val="true"/>
        </w:rPr>
        <w:t>הביע צער וחרטה על מעשיו ומדובר במעידתו  הראשונה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40" w:start="108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tl w:val="true"/>
        </w:rPr>
        <w:t>(</w:t>
      </w:r>
      <w:r>
        <w:rPr>
          <w:rtl w:val="true"/>
        </w:rPr>
        <w:t>נצ</w:t>
      </w:r>
      <w:r>
        <w:rPr>
          <w:rtl w:val="true"/>
        </w:rPr>
        <w:t xml:space="preserve">') </w:t>
      </w:r>
      <w:r>
        <w:rPr/>
        <w:t>114/08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ואכד מרואן</w:t>
      </w:r>
      <w:r>
        <w:rPr>
          <w:rtl w:val="true"/>
        </w:rPr>
        <w:t xml:space="preserve"> – הורשע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יחד עם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אחרים בעבירות של קשירת קשר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4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ועבירת נשק </w:t>
      </w:r>
      <w:r>
        <w:rPr>
          <w:rtl w:val="true"/>
        </w:rPr>
        <w:t>[</w:t>
      </w:r>
      <w:r>
        <w:rPr>
          <w:rtl w:val="true"/>
        </w:rPr>
        <w:t>רכישה</w:t>
      </w:r>
      <w:r>
        <w:rPr>
          <w:rtl w:val="true"/>
        </w:rPr>
        <w:t xml:space="preserve">, </w:t>
      </w:r>
      <w:r>
        <w:rPr>
          <w:rtl w:val="true"/>
        </w:rPr>
        <w:t>נשיאה והובלה</w:t>
      </w:r>
      <w:r>
        <w:rPr>
          <w:rtl w:val="true"/>
        </w:rPr>
        <w:t xml:space="preserve">], </w:t>
      </w:r>
      <w:r>
        <w:rPr>
          <w:rtl w:val="true"/>
        </w:rPr>
        <w:t xml:space="preserve">עבירות לפי </w:t>
      </w:r>
      <w:hyperlink r:id="rId4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0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51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  <w:r>
        <w:rPr>
          <w:rtl w:val="true"/>
        </w:rPr>
        <w:t>הנאשם הודה  בישיבה הראשונה במיוחס לו</w:t>
      </w:r>
      <w:r>
        <w:rPr>
          <w:rtl w:val="true"/>
        </w:rPr>
        <w:t xml:space="preserve">. </w:t>
      </w:r>
      <w:r>
        <w:rPr>
          <w:rtl w:val="true"/>
        </w:rPr>
        <w:t>הנאשם ובני משפחתו היו חשופים לאיומים עקב סכסוך חמולות בו היו נתונים</w:t>
      </w:r>
      <w:r>
        <w:rPr>
          <w:rtl w:val="true"/>
        </w:rPr>
        <w:t xml:space="preserve">. </w:t>
      </w:r>
      <w:r>
        <w:rPr>
          <w:rtl w:val="true"/>
        </w:rPr>
        <w:t>הנאשם נטל אחריות מלאה והביע צער וחרטה</w:t>
      </w:r>
      <w:r>
        <w:rPr>
          <w:rtl w:val="true"/>
        </w:rPr>
        <w:t xml:space="preserve">. </w:t>
      </w:r>
      <w:r>
        <w:rPr>
          <w:rtl w:val="true"/>
        </w:rPr>
        <w:t>אין לחובתו של הנאשם עבר פלילי קודם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גזר על הנאשם עונש מאסר לתקופה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שירוצה בעבודות שירות בצירוף ענישה נלווית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40" w:start="108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/>
        <w:t>8182/08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מיל</w:t>
      </w:r>
      <w:r>
        <w:rPr>
          <w:rtl w:val="true"/>
        </w:rPr>
        <w:t xml:space="preserve"> ו</w:t>
      </w:r>
      <w:r>
        <w:rPr>
          <w:b/>
          <w:b/>
          <w:bCs/>
          <w:rtl w:val="true"/>
        </w:rPr>
        <w:t>אח</w:t>
      </w:r>
      <w:r>
        <w:rPr>
          <w:b/>
          <w:bCs/>
          <w:rtl w:val="true"/>
        </w:rPr>
        <w:t xml:space="preserve">' </w:t>
      </w:r>
      <w:r>
        <w:rPr>
          <w:rtl w:val="true"/>
        </w:rPr>
        <w:t xml:space="preserve">– </w:t>
      </w:r>
      <w:r>
        <w:rPr>
          <w:rtl w:val="true"/>
        </w:rPr>
        <w:t>הורשעו הנאשמים על</w:t>
      </w:r>
      <w:r>
        <w:rPr>
          <w:rtl w:val="true"/>
        </w:rPr>
        <w:t>-</w:t>
      </w:r>
      <w:r>
        <w:rPr>
          <w:rtl w:val="true"/>
        </w:rPr>
        <w:t>פי הודאתם בכתב אישום המייחס להם עבירות של קשירת קשר לפשע</w:t>
      </w:r>
      <w:r>
        <w:rPr>
          <w:rtl w:val="true"/>
        </w:rPr>
        <w:t xml:space="preserve">, </w:t>
      </w:r>
      <w:r>
        <w:rPr>
          <w:rtl w:val="true"/>
        </w:rPr>
        <w:t>רכישת נשק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נשיאת והובלת נשק שלא כדין וקבלת נכס שהושג בפשע – עבירות בניגוד </w:t>
      </w:r>
      <w:hyperlink r:id="rId52">
        <w:r>
          <w:rPr>
            <w:rStyle w:val="Hyperlink"/>
            <w:color w:val="0000FF"/>
            <w:u w:val="single"/>
            <w:rtl w:val="true"/>
          </w:rPr>
          <w:t xml:space="preserve">לסעיפים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53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, </w:t>
      </w:r>
      <w:hyperlink r:id="rId54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</w:t>
      </w:r>
      <w:r>
        <w:rPr>
          <w:rtl w:val="true"/>
        </w:rPr>
        <w:t>-</w:t>
      </w:r>
      <w:r>
        <w:rPr/>
        <w:t>411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הנאשמים רכשו אקדח אשר באמצעותו בוצע רצח</w:t>
      </w:r>
      <w:r>
        <w:rPr>
          <w:rtl w:val="true"/>
        </w:rPr>
        <w:t xml:space="preserve">, </w:t>
      </w:r>
      <w:r>
        <w:rPr>
          <w:rtl w:val="true"/>
        </w:rPr>
        <w:t>אך חשבו שהאקדח נשדד משומר שהוכה בראשו</w:t>
      </w:r>
      <w:r>
        <w:rPr>
          <w:rtl w:val="true"/>
        </w:rPr>
        <w:t xml:space="preserve">. </w:t>
      </w:r>
      <w:r>
        <w:rPr>
          <w:rtl w:val="true"/>
        </w:rPr>
        <w:t xml:space="preserve">לחובת אחד הנאשמים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הרשעות קודמות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בבאר שבע גזר על הנאשמים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 בצירוף ענישה נלווית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40" w:start="108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4329/10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 אסמאעיל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25.10.10</w:t>
      </w:r>
      <w:r>
        <w:rPr>
          <w:rtl w:val="true"/>
        </w:rPr>
        <w:t xml:space="preserve">) – </w:t>
      </w:r>
      <w:r>
        <w:rPr>
          <w:rtl w:val="true"/>
        </w:rPr>
        <w:t>נמצא המערער כשהוא מחזיק באקדח טעון בתחמושת במצב נצור</w:t>
      </w:r>
      <w:r>
        <w:rPr>
          <w:rtl w:val="true"/>
        </w:rPr>
        <w:t xml:space="preserve">, </w:t>
      </w:r>
      <w:r>
        <w:rPr>
          <w:rtl w:val="true"/>
        </w:rPr>
        <w:t>מבלי שהיה מורשה לכך</w:t>
      </w:r>
      <w:r>
        <w:rPr>
          <w:rtl w:val="true"/>
        </w:rPr>
        <w:t xml:space="preserve">. </w:t>
      </w:r>
      <w:r>
        <w:rPr>
          <w:rtl w:val="true"/>
        </w:rPr>
        <w:t>המערער הודה בעובדות שיוחסו לו והורשע בעבירות של החזקת נשק ונשיאתו שלא כדין</w:t>
      </w:r>
      <w:r>
        <w:rPr>
          <w:rtl w:val="true"/>
        </w:rPr>
        <w:t xml:space="preserve">. </w:t>
      </w:r>
      <w:r>
        <w:rPr>
          <w:rtl w:val="true"/>
        </w:rPr>
        <w:t>בית המשפט המחוזי בנצרת דן אותו 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בצירוף ענישה נלווית</w:t>
      </w:r>
      <w:r>
        <w:rPr>
          <w:rtl w:val="true"/>
        </w:rPr>
        <w:t xml:space="preserve">. </w:t>
      </w:r>
      <w:r>
        <w:rPr>
          <w:rtl w:val="true"/>
        </w:rPr>
        <w:t xml:space="preserve">מדובר בנאשם צעיר </w:t>
      </w:r>
      <w:r>
        <w:rPr>
          <w:rtl w:val="true"/>
        </w:rPr>
        <w:t>(</w:t>
      </w:r>
      <w:r>
        <w:rPr>
          <w:rtl w:val="true"/>
        </w:rPr>
        <w:t>סטודנט</w:t>
      </w:r>
      <w:r>
        <w:rPr>
          <w:rtl w:val="true"/>
        </w:rPr>
        <w:t xml:space="preserve">) </w:t>
      </w:r>
      <w:r>
        <w:rPr>
          <w:rtl w:val="true"/>
        </w:rPr>
        <w:t>נעדר עבר פלילי</w:t>
      </w:r>
      <w:r>
        <w:rPr>
          <w:rtl w:val="true"/>
        </w:rPr>
        <w:t xml:space="preserve">. </w:t>
      </w:r>
      <w:r>
        <w:rPr>
          <w:rtl w:val="true"/>
        </w:rPr>
        <w:t>שירות המבחן המליץ להסתפק במאסר שירוצה בעבודות שירות</w:t>
      </w:r>
      <w:r>
        <w:rPr>
          <w:rtl w:val="true"/>
        </w:rPr>
        <w:t xml:space="preserve">. </w:t>
      </w:r>
      <w:r>
        <w:rPr>
          <w:rtl w:val="true"/>
        </w:rPr>
        <w:t>בית המשפט העליון דחה את הערעור בציינו</w:t>
      </w:r>
      <w:r>
        <w:rPr>
          <w:rtl w:val="true"/>
        </w:rPr>
        <w:t xml:space="preserve">, </w:t>
      </w:r>
      <w:r>
        <w:rPr>
          <w:rtl w:val="true"/>
        </w:rPr>
        <w:t>כי הגיעה העת להחמיר בענישה בעבירות 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 xml:space="preserve">נסיבות הקשורות בביצוע העבירות – </w:t>
      </w:r>
      <w:hyperlink r:id="rId57"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b/>
            <w:bCs/>
            <w:color w:val="0000FF"/>
            <w:u w:val="single"/>
          </w:rPr>
          <w:t>40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ט</w:t>
        </w:r>
        <w:r>
          <w:rPr>
            <w:rStyle w:val="Hyperlink"/>
            <w:b/>
            <w:bCs/>
            <w:color w:val="0000FF"/>
            <w:u w:val="single"/>
            <w:rtl w:val="true"/>
          </w:rPr>
          <w:t>'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hyperlink r:id="rId58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הנאשם רכש נשק</w:t>
      </w:r>
      <w:r>
        <w:rPr>
          <w:rtl w:val="true"/>
        </w:rPr>
        <w:t xml:space="preserve">, </w:t>
      </w:r>
      <w:r>
        <w:rPr>
          <w:rtl w:val="true"/>
        </w:rPr>
        <w:t>ירה באמצעותו והטמינו יחד עם התחמושת במקום מסתור סמוך לביתו</w:t>
      </w:r>
      <w:r>
        <w:rPr>
          <w:rtl w:val="true"/>
        </w:rPr>
        <w:t xml:space="preserve">. </w:t>
      </w:r>
      <w:r>
        <w:rPr>
          <w:rtl w:val="true"/>
        </w:rPr>
        <w:t>בהמשך נהג הנאשם ברכבו כשהוא נושא בתא המטען את הנשק והתחמושת</w:t>
      </w:r>
      <w:r>
        <w:rPr>
          <w:rtl w:val="true"/>
        </w:rPr>
        <w:t xml:space="preserve">. </w:t>
      </w:r>
      <w:r>
        <w:rPr>
          <w:rtl w:val="true"/>
        </w:rPr>
        <w:t>משכך ברי</w:t>
      </w:r>
      <w:r>
        <w:rPr>
          <w:rtl w:val="true"/>
        </w:rPr>
        <w:t xml:space="preserve">, </w:t>
      </w:r>
      <w:r>
        <w:rPr>
          <w:rtl w:val="true"/>
        </w:rPr>
        <w:t>כי קדם לביצוע העבירה תכנון מוקדם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-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בפועל אמנם לא נגרם נזק של ממש מביצוע עבירות הנשק</w:t>
      </w:r>
      <w:r>
        <w:rPr>
          <w:rtl w:val="true"/>
        </w:rPr>
        <w:t xml:space="preserve">, </w:t>
      </w:r>
      <w:r>
        <w:rPr>
          <w:rtl w:val="true"/>
        </w:rPr>
        <w:t>מאחר והנשק והתחמושת נתפסו על ידי כוחות משטרה בשלב מוקדם</w:t>
      </w:r>
      <w:r>
        <w:rPr>
          <w:rtl w:val="true"/>
        </w:rPr>
        <w:t xml:space="preserve">. </w:t>
      </w:r>
      <w:r>
        <w:rPr>
          <w:rtl w:val="true"/>
        </w:rPr>
        <w:t>בנוסף הרכב שננטש על ידי הנאשם בעודו מונע בדרך הנס לא גרם לנפגעים ואבדות בנפש</w:t>
      </w:r>
      <w:r>
        <w:rPr>
          <w:rtl w:val="true"/>
        </w:rPr>
        <w:t xml:space="preserve">. </w:t>
      </w:r>
      <w:r>
        <w:rPr>
          <w:rtl w:val="true"/>
        </w:rPr>
        <w:t>יחד עם זאת וכפי שצוין לעיל</w:t>
      </w:r>
      <w:r>
        <w:rPr>
          <w:rtl w:val="true"/>
        </w:rPr>
        <w:t xml:space="preserve">, </w:t>
      </w:r>
      <w:r>
        <w:rPr>
          <w:rtl w:val="true"/>
        </w:rPr>
        <w:t>בהחזקת נשק טמונה סכנה רבה לציבור</w:t>
      </w:r>
      <w:r>
        <w:rPr>
          <w:rtl w:val="true"/>
        </w:rPr>
        <w:t xml:space="preserve">, </w:t>
      </w:r>
      <w:r>
        <w:rPr>
          <w:rtl w:val="true"/>
        </w:rPr>
        <w:t>מה גם שנשק המוחזק שלא כדין עלול למצוא דרכו בסופו של דבר לידיהם של מי שיעשו בו שימוש עברייני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אין להמעיט בחומרת העבירה שביצע הנאשם נוכח העובדה</w:t>
      </w:r>
      <w:r>
        <w:rPr>
          <w:rtl w:val="true"/>
        </w:rPr>
        <w:t xml:space="preserve">, </w:t>
      </w:r>
      <w:r>
        <w:rPr>
          <w:rtl w:val="true"/>
        </w:rPr>
        <w:t>כי בפועל לא נגרם נזק  ממשי מביצועה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באשר לסיבה שהביאה אותו לבצע את העבירה</w:t>
      </w:r>
      <w:r>
        <w:rPr>
          <w:rtl w:val="true"/>
        </w:rPr>
        <w:t xml:space="preserve">, </w:t>
      </w:r>
      <w:r>
        <w:rPr>
          <w:rtl w:val="true"/>
        </w:rPr>
        <w:t>טען הנאשם</w:t>
      </w:r>
      <w:r>
        <w:rPr>
          <w:rtl w:val="true"/>
        </w:rPr>
        <w:t xml:space="preserve">, </w:t>
      </w:r>
      <w:r>
        <w:rPr>
          <w:rtl w:val="true"/>
        </w:rPr>
        <w:t>כי כחודש ימים עובר לרכישת הנשק והתחמושת</w:t>
      </w:r>
      <w:r>
        <w:rPr>
          <w:rtl w:val="true"/>
        </w:rPr>
        <w:t xml:space="preserve">, </w:t>
      </w:r>
      <w:r>
        <w:rPr>
          <w:rtl w:val="true"/>
        </w:rPr>
        <w:t>אלמונים ירו לעבר חנות סבו שעה שישב במקום</w:t>
      </w:r>
      <w:r>
        <w:rPr>
          <w:rtl w:val="true"/>
        </w:rPr>
        <w:t xml:space="preserve">; </w:t>
      </w:r>
      <w:r>
        <w:rPr>
          <w:rtl w:val="true"/>
        </w:rPr>
        <w:t>בנוסף טען הנאשם</w:t>
      </w:r>
      <w:r>
        <w:rPr>
          <w:rtl w:val="true"/>
        </w:rPr>
        <w:t xml:space="preserve">, </w:t>
      </w:r>
      <w:r>
        <w:rPr>
          <w:rtl w:val="true"/>
        </w:rPr>
        <w:t>כי איימו על חייו פעמים רבות ועקב כך הצטייד בנשק</w:t>
      </w:r>
      <w:r>
        <w:rPr>
          <w:rtl w:val="true"/>
        </w:rPr>
        <w:t xml:space="preserve">. </w:t>
      </w:r>
      <w:r>
        <w:rPr>
          <w:rtl w:val="true"/>
        </w:rPr>
        <w:t>בהכרעת הדין דחיתי את טענת ההגנה העצמית שהעלה הנאשם משקבעתי</w:t>
      </w:r>
      <w:r>
        <w:rPr>
          <w:rtl w:val="true"/>
        </w:rPr>
        <w:t xml:space="preserve">, </w:t>
      </w:r>
      <w:r>
        <w:rPr>
          <w:rtl w:val="true"/>
        </w:rPr>
        <w:t>כי הירי לעבר הנאשם התבצע לכאורה כחודש ימים עובר לרכישת הנשק ואין מתקיים יסוד המיידיות הדורש</w:t>
      </w:r>
      <w:r>
        <w:rPr>
          <w:rtl w:val="true"/>
        </w:rPr>
        <w:t xml:space="preserve">, </w:t>
      </w:r>
      <w:r>
        <w:rPr>
          <w:rtl w:val="true"/>
        </w:rPr>
        <w:t>כי מעשה ההתגוננות יתבצע רק מרגע שזה דרוש באופן מיידי על מנת להדוף תקיפה</w:t>
      </w:r>
      <w:r>
        <w:rPr>
          <w:rtl w:val="true"/>
        </w:rPr>
        <w:t xml:space="preserve">. </w:t>
      </w:r>
      <w:r>
        <w:rPr>
          <w:rtl w:val="true"/>
        </w:rPr>
        <w:t>בנוסף קבעתי</w:t>
      </w:r>
      <w:r>
        <w:rPr>
          <w:rtl w:val="true"/>
        </w:rPr>
        <w:t xml:space="preserve">, </w:t>
      </w:r>
      <w:r>
        <w:rPr>
          <w:rtl w:val="true"/>
        </w:rPr>
        <w:t xml:space="preserve">כי גם יסוד </w:t>
      </w:r>
      <w:r>
        <w:rPr>
          <w:rtl w:val="true"/>
        </w:rPr>
        <w:t>"</w:t>
      </w:r>
      <w:r>
        <w:rPr>
          <w:rtl w:val="true"/>
        </w:rPr>
        <w:t>הסכנה המוחשית</w:t>
      </w:r>
      <w:r>
        <w:rPr>
          <w:rtl w:val="true"/>
        </w:rPr>
        <w:t xml:space="preserve">" </w:t>
      </w:r>
      <w:r>
        <w:rPr>
          <w:rtl w:val="true"/>
        </w:rPr>
        <w:t xml:space="preserve">ויסוד </w:t>
      </w:r>
      <w:r>
        <w:rPr>
          <w:rtl w:val="true"/>
        </w:rPr>
        <w:t>"</w:t>
      </w:r>
      <w:r>
        <w:rPr>
          <w:rtl w:val="true"/>
        </w:rPr>
        <w:t>הנחיצות</w:t>
      </w:r>
      <w:r>
        <w:rPr>
          <w:rtl w:val="true"/>
        </w:rPr>
        <w:t xml:space="preserve">" </w:t>
      </w:r>
      <w:r>
        <w:rPr>
          <w:rtl w:val="true"/>
        </w:rPr>
        <w:t>אינם מתקיימים במקרה דנן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יחד עם זאת ועל אף שלנאשם לא עמד סייג ההגנה העצמית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כי יש מקום להעניק משקל מה לסיבה שהביאה אותו לבצע את עבירות הנשק</w:t>
      </w:r>
      <w:r>
        <w:rPr>
          <w:rtl w:val="true"/>
        </w:rPr>
        <w:t xml:space="preserve">. </w:t>
      </w:r>
      <w:r>
        <w:rPr>
          <w:rtl w:val="true"/>
        </w:rPr>
        <w:t>אמנם אין להצדיק לעניין זה רכישת נשק לשם עשיית שימוש בו</w:t>
      </w:r>
      <w:r>
        <w:rPr>
          <w:rtl w:val="true"/>
        </w:rPr>
        <w:t xml:space="preserve">, </w:t>
      </w:r>
      <w:r>
        <w:rPr>
          <w:rtl w:val="true"/>
        </w:rPr>
        <w:t>ואין להמעיט מן הסיכון הכרוך בעבירה גם בנסיבות אלה</w:t>
      </w:r>
      <w:r>
        <w:rPr>
          <w:rtl w:val="true"/>
        </w:rPr>
        <w:t xml:space="preserve">, </w:t>
      </w:r>
      <w:r>
        <w:rPr>
          <w:rtl w:val="true"/>
        </w:rPr>
        <w:t>חרף זאת ניתן להבין</w:t>
      </w:r>
      <w:r>
        <w:rPr>
          <w:rtl w:val="true"/>
        </w:rPr>
        <w:t xml:space="preserve">, </w:t>
      </w:r>
      <w:r>
        <w:rPr>
          <w:rtl w:val="true"/>
        </w:rPr>
        <w:t>כי בנסיבות המקרה לא הנחו את הנאשם שיקולים עבריינים טהורים</w:t>
      </w:r>
      <w:r>
        <w:rPr>
          <w:rtl w:val="true"/>
        </w:rPr>
        <w:t xml:space="preserve">, </w:t>
      </w:r>
      <w:r>
        <w:rPr>
          <w:rtl w:val="true"/>
        </w:rPr>
        <w:t>כגון ביצוע מעשי שוד או חיסול חשבונות באמצעות הנשק</w:t>
      </w:r>
      <w:r>
        <w:rPr>
          <w:rtl w:val="true"/>
        </w:rPr>
        <w:t xml:space="preserve">, </w:t>
      </w:r>
      <w:r>
        <w:rPr>
          <w:rtl w:val="true"/>
        </w:rPr>
        <w:t>אלא אימת הנסיבות ושיקול דעת מוטעה</w:t>
      </w:r>
      <w:r>
        <w:rPr>
          <w:rtl w:val="true"/>
        </w:rPr>
        <w:t xml:space="preserve">. </w:t>
      </w:r>
      <w:r>
        <w:rPr>
          <w:rtl w:val="true"/>
        </w:rPr>
        <w:t>בנוסף יצוין</w:t>
      </w:r>
      <w:r>
        <w:rPr>
          <w:rtl w:val="true"/>
        </w:rPr>
        <w:t xml:space="preserve">, </w:t>
      </w:r>
      <w:r>
        <w:rPr>
          <w:rtl w:val="true"/>
        </w:rPr>
        <w:t>כי הנאשם החזיק בנשק תקופה קצרה ביותר בת יומיים בלבד</w:t>
      </w:r>
      <w:r>
        <w:rPr>
          <w:rtl w:val="true"/>
        </w:rPr>
        <w:t xml:space="preserve">.   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 xml:space="preserve">בשים לב לעקרון המנחה </w:t>
      </w:r>
      <w:r>
        <w:rPr>
          <w:rtl w:val="true"/>
        </w:rPr>
        <w:t>(</w:t>
      </w:r>
      <w:r>
        <w:rPr>
          <w:rtl w:val="true"/>
        </w:rPr>
        <w:t>עקרון ההלימה</w:t>
      </w:r>
      <w:r>
        <w:rPr>
          <w:rtl w:val="true"/>
        </w:rPr>
        <w:t xml:space="preserve">) </w:t>
      </w:r>
      <w:r>
        <w:rPr>
          <w:rtl w:val="true"/>
        </w:rPr>
        <w:t>ובהתחשב בערך החברתי שנפגע מביצוע העבירות במקרה דנן</w:t>
      </w:r>
      <w:r>
        <w:rPr>
          <w:rtl w:val="true"/>
        </w:rPr>
        <w:t xml:space="preserve">, </w:t>
      </w:r>
      <w:r>
        <w:rPr>
          <w:rtl w:val="true"/>
        </w:rPr>
        <w:t>מידת הפגיעה בו</w:t>
      </w:r>
      <w:r>
        <w:rPr>
          <w:rtl w:val="true"/>
        </w:rPr>
        <w:t xml:space="preserve">, </w:t>
      </w:r>
      <w:r>
        <w:rPr>
          <w:rtl w:val="true"/>
        </w:rPr>
        <w:t>מדיניות הענישה הנהוגה והנסיבות הקשורות בביצוע העבירות כמפורט לעיל</w:t>
      </w:r>
      <w:r>
        <w:rPr>
          <w:rtl w:val="true"/>
        </w:rPr>
        <w:t xml:space="preserve">, </w:t>
      </w:r>
      <w:r>
        <w:rPr>
          <w:rtl w:val="true"/>
        </w:rPr>
        <w:t>אני קובע</w:t>
      </w:r>
      <w:r>
        <w:rPr>
          <w:rtl w:val="true"/>
        </w:rPr>
        <w:t xml:space="preserve">, </w:t>
      </w:r>
      <w:r>
        <w:rPr>
          <w:rtl w:val="true"/>
        </w:rPr>
        <w:t xml:space="preserve">כי מתחם העונש ההולם לאירוע </w:t>
      </w:r>
      <w:r>
        <w:rPr>
          <w:b/>
          <w:b/>
          <w:bCs/>
          <w:rtl w:val="true"/>
        </w:rPr>
        <w:t>כולו</w:t>
      </w:r>
      <w:r>
        <w:rPr>
          <w:rtl w:val="true"/>
        </w:rPr>
        <w:t xml:space="preserve"> נע בין מאסר בפועל לריצוי בעבודות שירות 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בצירוף ענישה נלווית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נסיבות שאינן קשורות בביצוע העבירה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>
          <w:b/>
          <w:bCs/>
          <w:u w:val="single"/>
        </w:rPr>
      </w:pPr>
      <w:r>
        <w:rPr>
          <w:rtl w:val="true"/>
        </w:rPr>
        <w:t xml:space="preserve">בהתאם לאמור </w:t>
      </w:r>
      <w:hyperlink r:id="rId59">
        <w:r>
          <w:rPr>
            <w:rStyle w:val="Hyperlink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על בית המשפט לגזור את העונש המתאים לנאשם בתוך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בהתחשב בנסיבות שאינן קשורות בביצוע העבירה כאמור </w:t>
      </w:r>
      <w:hyperlink r:id="rId61">
        <w:r>
          <w:rPr>
            <w:rStyle w:val="Hyperlink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-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בגזירת העונש המתאים בגין מעשיו של הנאשם</w:t>
      </w:r>
      <w:r>
        <w:rPr>
          <w:rtl w:val="true"/>
        </w:rPr>
        <w:t xml:space="preserve">, </w:t>
      </w:r>
      <w:r>
        <w:rPr>
          <w:rtl w:val="true"/>
        </w:rPr>
        <w:t>יש להביא במניין השיקולים לקולת עונשו את חרטתו ונטילת האחריות בגין מעשיו</w:t>
      </w:r>
      <w:r>
        <w:rPr>
          <w:rtl w:val="true"/>
        </w:rPr>
        <w:t xml:space="preserve">. </w:t>
      </w:r>
      <w:r>
        <w:rPr>
          <w:rtl w:val="true"/>
        </w:rPr>
        <w:t>שירות המבחן התרשם</w:t>
      </w:r>
      <w:r>
        <w:rPr>
          <w:rtl w:val="true"/>
        </w:rPr>
        <w:t xml:space="preserve">, </w:t>
      </w:r>
      <w:r>
        <w:rPr>
          <w:rtl w:val="true"/>
        </w:rPr>
        <w:t>כי הנאשם נטל אחריות מלאה בגין ביצוע העבירה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הנאשם הודה לראשונה בביצוע העבירות המיוחסות לו עת נגבו הודעותיו ושיתף פעולה עם חוקריו</w:t>
      </w:r>
      <w:r>
        <w:rPr>
          <w:rtl w:val="true"/>
        </w:rPr>
        <w:t xml:space="preserve">. </w:t>
      </w:r>
      <w:r>
        <w:rPr>
          <w:rtl w:val="true"/>
        </w:rPr>
        <w:t>חרף זאת</w:t>
      </w:r>
      <w:r>
        <w:rPr>
          <w:rtl w:val="true"/>
        </w:rPr>
        <w:t xml:space="preserve">, </w:t>
      </w:r>
      <w:r>
        <w:rPr>
          <w:rtl w:val="true"/>
        </w:rPr>
        <w:t>בחר בא כוחו שלא להשיב לאשמה ולנהל את משפטו של הנאשם עד תום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40" w:end="0"/>
        <w:jc w:val="both"/>
        <w:rPr/>
      </w:pP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>כי ניהול הוכחות על ידי הנאשם אינו מהווה עילה להחמרה בעונשו</w:t>
      </w:r>
      <w:r>
        <w:rPr>
          <w:rtl w:val="true"/>
        </w:rPr>
        <w:t xml:space="preserve">, </w:t>
      </w:r>
      <w:r>
        <w:rPr>
          <w:rtl w:val="true"/>
        </w:rPr>
        <w:t>שכן זכותו של כל נאשם לנהל משפטו עד תום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 xml:space="preserve">מותר להקל בעונשו של נאשם שמודה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7964/11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חלאילה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ניתן ביום </w:t>
      </w:r>
      <w:r>
        <w:rPr/>
        <w:t>31.10.12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מן הראוי להתחשב בנסיבותיו האישיות של הנאשם</w:t>
      </w:r>
      <w:r>
        <w:rPr>
          <w:rtl w:val="true"/>
        </w:rPr>
        <w:t xml:space="preserve">. </w:t>
      </w:r>
      <w:r>
        <w:rPr>
          <w:rtl w:val="true"/>
        </w:rPr>
        <w:t xml:space="preserve">מדובר בנאשם צעיר </w:t>
      </w:r>
      <w:r>
        <w:rPr>
          <w:rtl w:val="true"/>
        </w:rPr>
        <w:t>(</w:t>
      </w:r>
      <w:r>
        <w:rPr>
          <w:rtl w:val="true"/>
        </w:rPr>
        <w:t xml:space="preserve">כבן </w:t>
      </w:r>
      <w:r>
        <w:rPr/>
        <w:t>20</w:t>
      </w:r>
      <w:r>
        <w:rPr>
          <w:rtl w:val="true"/>
        </w:rPr>
        <w:t xml:space="preserve">) </w:t>
      </w:r>
      <w:r>
        <w:rPr>
          <w:rtl w:val="true"/>
        </w:rPr>
        <w:t>שניהל אורח חיים נורמטיבי</w:t>
      </w:r>
      <w:r>
        <w:rPr>
          <w:rtl w:val="true"/>
        </w:rPr>
        <w:t xml:space="preserve">, </w:t>
      </w:r>
      <w:r>
        <w:rPr>
          <w:rtl w:val="true"/>
        </w:rPr>
        <w:t>ללא כל הסתבכות עם החוק</w:t>
      </w:r>
      <w:r>
        <w:rPr>
          <w:rtl w:val="true"/>
        </w:rPr>
        <w:t xml:space="preserve">, </w:t>
      </w:r>
      <w:r>
        <w:rPr>
          <w:rtl w:val="true"/>
        </w:rPr>
        <w:t xml:space="preserve">סיים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 והחל בלימודי המשך</w:t>
      </w:r>
      <w:r>
        <w:rPr>
          <w:rtl w:val="true"/>
        </w:rPr>
        <w:t xml:space="preserve">. </w:t>
      </w:r>
      <w:r>
        <w:rPr>
          <w:rtl w:val="true"/>
        </w:rPr>
        <w:t>שירות המבחן התרשם</w:t>
      </w:r>
      <w:r>
        <w:rPr>
          <w:rtl w:val="true"/>
        </w:rPr>
        <w:t xml:space="preserve">, </w:t>
      </w:r>
      <w:r>
        <w:rPr>
          <w:rtl w:val="true"/>
        </w:rPr>
        <w:t>כי קיים פער בין מאפייניו של הנאשם</w:t>
      </w:r>
      <w:r>
        <w:rPr>
          <w:rtl w:val="true"/>
        </w:rPr>
        <w:t xml:space="preserve">, </w:t>
      </w:r>
      <w:r>
        <w:rPr>
          <w:rtl w:val="true"/>
        </w:rPr>
        <w:t>סגנון ואורח חייו טרם המעצר לבין ביצוע העבירות עסקינן</w:t>
      </w:r>
      <w:r>
        <w:rPr>
          <w:rtl w:val="true"/>
        </w:rPr>
        <w:t xml:space="preserve">. </w:t>
      </w:r>
      <w:r>
        <w:rPr>
          <w:rtl w:val="true"/>
        </w:rPr>
        <w:t>מתסקיר המבחן עולה</w:t>
      </w:r>
      <w:r>
        <w:rPr>
          <w:rtl w:val="true"/>
        </w:rPr>
        <w:t xml:space="preserve">, </w:t>
      </w:r>
      <w:r>
        <w:rPr>
          <w:rtl w:val="true"/>
        </w:rPr>
        <w:t>כי הנאשם גדל והתחנך במסגרת שהקנתה לו ערכים וגבולות ברורים וכיוונה אותו לאורח חיים אחראי</w:t>
      </w:r>
      <w:r>
        <w:rPr>
          <w:rtl w:val="true"/>
        </w:rPr>
        <w:t xml:space="preserve">, </w:t>
      </w:r>
      <w:r>
        <w:rPr>
          <w:rtl w:val="true"/>
        </w:rPr>
        <w:t>בוגר</w:t>
      </w:r>
      <w:r>
        <w:rPr>
          <w:rtl w:val="true"/>
        </w:rPr>
        <w:t xml:space="preserve">, </w:t>
      </w:r>
      <w:r>
        <w:rPr>
          <w:rtl w:val="true"/>
        </w:rPr>
        <w:t>יציב ושומר חוק</w:t>
      </w:r>
      <w:r>
        <w:rPr>
          <w:rtl w:val="true"/>
        </w:rPr>
        <w:t xml:space="preserve">. </w:t>
      </w:r>
      <w:r>
        <w:rPr>
          <w:rtl w:val="true"/>
        </w:rPr>
        <w:t>יחד עם זאת התרשם שירות המבחן</w:t>
      </w:r>
      <w:r>
        <w:rPr>
          <w:rtl w:val="true"/>
        </w:rPr>
        <w:t xml:space="preserve">, </w:t>
      </w:r>
      <w:r>
        <w:rPr>
          <w:rtl w:val="true"/>
        </w:rPr>
        <w:t>כי החברה בסביבת מגוריו ותת התרבות הקיימת בה</w:t>
      </w:r>
      <w:r>
        <w:rPr>
          <w:rtl w:val="true"/>
        </w:rPr>
        <w:t xml:space="preserve">, </w:t>
      </w:r>
      <w:r>
        <w:rPr>
          <w:rtl w:val="true"/>
        </w:rPr>
        <w:t xml:space="preserve">סביב ההתייחסות לנשק והעדר הוקעה של עבירות מסוג זה </w:t>
      </w:r>
      <w:r>
        <w:rPr>
          <w:b/>
          <w:b/>
          <w:bCs/>
          <w:rtl w:val="true"/>
        </w:rPr>
        <w:t>השפיעו</w:t>
      </w:r>
      <w:r>
        <w:rPr>
          <w:rtl w:val="true"/>
        </w:rPr>
        <w:t xml:space="preserve"> על הבחירות בחייו ובין היתר נמצאות ברקע לביצוע העבירה</w:t>
      </w:r>
      <w:r>
        <w:rPr>
          <w:rtl w:val="true"/>
        </w:rPr>
        <w:t xml:space="preserve">. </w:t>
      </w:r>
      <w:r>
        <w:rPr>
          <w:rtl w:val="true"/>
        </w:rPr>
        <w:t>שירות המבחן לא התרשם</w:t>
      </w:r>
      <w:r>
        <w:rPr>
          <w:rtl w:val="true"/>
        </w:rPr>
        <w:t xml:space="preserve">, </w:t>
      </w:r>
      <w:r>
        <w:rPr>
          <w:rtl w:val="true"/>
        </w:rPr>
        <w:t>כי קיימים בנאשם קווים עבריינים באישיותו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-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כי אין דינו של נאשם שהנו עבריין מועד</w:t>
      </w:r>
      <w:r>
        <w:rPr>
          <w:rtl w:val="true"/>
        </w:rPr>
        <w:t xml:space="preserve">, </w:t>
      </w:r>
      <w:r>
        <w:rPr>
          <w:rtl w:val="true"/>
        </w:rPr>
        <w:t>הנושא על גבו קופת שרצים של הרשעות קודמות כדין נאשם אשר רכש כלי נשק לצורך הגנה עצמית</w:t>
      </w:r>
      <w:r>
        <w:rPr>
          <w:rtl w:val="true"/>
        </w:rPr>
        <w:t xml:space="preserve">, </w:t>
      </w:r>
      <w:r>
        <w:rPr>
          <w:rtl w:val="true"/>
        </w:rPr>
        <w:t>לא עשה בו כל שימוש</w:t>
      </w:r>
      <w:r>
        <w:rPr>
          <w:rtl w:val="true"/>
        </w:rPr>
        <w:t xml:space="preserve">, </w:t>
      </w:r>
      <w:r>
        <w:rPr>
          <w:rtl w:val="true"/>
        </w:rPr>
        <w:t>ואשר עברו צח ונקי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שירות המבחן העריך</w:t>
      </w:r>
      <w:r>
        <w:rPr>
          <w:rtl w:val="true"/>
        </w:rPr>
        <w:t xml:space="preserve">, </w:t>
      </w:r>
      <w:r>
        <w:rPr>
          <w:rtl w:val="true"/>
        </w:rPr>
        <w:t>כי במידה ויוטל על הנאשם עונש של מאסר בפועל בבית הכלא הוא עלול להיחשף לתרבות עבריינית ולהיות מנוצל וקורבני</w:t>
      </w:r>
      <w:r>
        <w:rPr>
          <w:rtl w:val="true"/>
        </w:rPr>
        <w:t xml:space="preserve">. </w:t>
      </w:r>
      <w:r>
        <w:rPr>
          <w:rtl w:val="true"/>
        </w:rPr>
        <w:t>נוכח 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המליצה קצינת המבחן להטיל על הנאשם צו מבחן למשך שנתיים</w:t>
      </w:r>
      <w:r>
        <w:rPr>
          <w:rtl w:val="true"/>
        </w:rPr>
        <w:t xml:space="preserve">, </w:t>
      </w:r>
      <w:r>
        <w:rPr>
          <w:rtl w:val="true"/>
        </w:rPr>
        <w:t>אשר במהלכו ישולב בקבוצה טיפולית לצעירים בשירות המבחן</w:t>
      </w:r>
      <w:r>
        <w:rPr>
          <w:rtl w:val="true"/>
        </w:rPr>
        <w:t xml:space="preserve">. </w:t>
      </w:r>
      <w:r>
        <w:rPr>
          <w:rtl w:val="true"/>
        </w:rPr>
        <w:t>להערכת שירות המבחן</w:t>
      </w:r>
      <w:r>
        <w:rPr>
          <w:rtl w:val="true"/>
        </w:rPr>
        <w:t xml:space="preserve">, </w:t>
      </w:r>
      <w:r>
        <w:rPr>
          <w:rtl w:val="true"/>
        </w:rPr>
        <w:t>לנאשם יש את היכולת להיתרם מקבוצה מעין זו ולערוך שינוי בחייו</w:t>
      </w:r>
      <w:r>
        <w:rPr>
          <w:rtl w:val="true"/>
        </w:rPr>
        <w:t xml:space="preserve">. </w:t>
      </w:r>
      <w:r>
        <w:rPr>
          <w:rtl w:val="true"/>
        </w:rPr>
        <w:t>לסיום המליץ שירות המבחן</w:t>
      </w:r>
      <w:r>
        <w:rPr>
          <w:rtl w:val="true"/>
        </w:rPr>
        <w:t xml:space="preserve">, </w:t>
      </w:r>
      <w:r>
        <w:rPr>
          <w:rtl w:val="true"/>
        </w:rPr>
        <w:t>להטיל על הנאשם מאסר שירוצה במסגרת עבודות שירות ומאסר מותנה ממושך אשר יהוו ענישה מוחשית עבורו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כבר נפסק פעמים רבות על ידי בית המשפט העליון והדבר הוא בחינת מושכלת יסוד</w:t>
      </w:r>
      <w:r>
        <w:rPr>
          <w:rtl w:val="true"/>
        </w:rPr>
        <w:t xml:space="preserve">, </w:t>
      </w:r>
      <w:r>
        <w:rPr>
          <w:rtl w:val="true"/>
        </w:rPr>
        <w:t>כי לתסקיר חשיבות רבה</w:t>
      </w:r>
      <w:r>
        <w:rPr>
          <w:rtl w:val="true"/>
        </w:rPr>
        <w:t xml:space="preserve">. </w:t>
      </w:r>
      <w:r>
        <w:rPr>
          <w:rtl w:val="true"/>
        </w:rPr>
        <w:t xml:space="preserve">הוא משמש ככלי עזר לבית המשפט והוא </w:t>
      </w:r>
      <w:r>
        <w:rPr>
          <w:rtl w:val="true"/>
        </w:rPr>
        <w:t>"</w:t>
      </w:r>
      <w:r>
        <w:rPr>
          <w:rtl w:val="true"/>
        </w:rPr>
        <w:t>עיניו ואוזניו הנוספות</w:t>
      </w:r>
      <w:r>
        <w:rPr>
          <w:rtl w:val="true"/>
        </w:rPr>
        <w:t xml:space="preserve">" </w:t>
      </w:r>
      <w:r>
        <w:rPr>
          <w:rtl w:val="true"/>
        </w:rPr>
        <w:t>במקומות שבהם דרושות כאלה</w:t>
      </w:r>
      <w:r>
        <w:rPr>
          <w:rtl w:val="true"/>
        </w:rPr>
        <w:t xml:space="preserve">. </w:t>
      </w:r>
      <w:r>
        <w:rPr>
          <w:rtl w:val="true"/>
        </w:rPr>
        <w:t>התסקיר נערך על</w:t>
      </w:r>
      <w:r>
        <w:rPr>
          <w:rtl w:val="true"/>
        </w:rPr>
        <w:t>-</w:t>
      </w:r>
      <w:r>
        <w:rPr>
          <w:rtl w:val="true"/>
        </w:rPr>
        <w:t>ידי אנשי מקצוע שזו אומנותם</w:t>
      </w:r>
      <w:r>
        <w:rPr>
          <w:rtl w:val="true"/>
        </w:rPr>
        <w:t xml:space="preserve">. </w:t>
      </w:r>
      <w:r>
        <w:rPr>
          <w:rtl w:val="true"/>
        </w:rPr>
        <w:t>אמנם המלצות שירות המבחן כשמן כן הן – המלצות</w:t>
      </w:r>
      <w:r>
        <w:rPr>
          <w:rtl w:val="true"/>
        </w:rPr>
        <w:t xml:space="preserve">, </w:t>
      </w:r>
      <w:r>
        <w:rPr>
          <w:rtl w:val="true"/>
        </w:rPr>
        <w:t>ואין בית המשפט מחויב להן</w:t>
      </w:r>
      <w:r>
        <w:rPr>
          <w:rtl w:val="true"/>
        </w:rPr>
        <w:t xml:space="preserve">, </w:t>
      </w:r>
      <w:r>
        <w:rPr>
          <w:rtl w:val="true"/>
        </w:rPr>
        <w:t>אך הוא ייתן להן את המשקל הראוי</w:t>
      </w:r>
      <w:r>
        <w:rPr>
          <w:rtl w:val="true"/>
        </w:rPr>
        <w:t xml:space="preserve">, </w:t>
      </w:r>
      <w:r>
        <w:rPr>
          <w:rtl w:val="true"/>
        </w:rPr>
        <w:t>לא כל שכן</w:t>
      </w:r>
      <w:r>
        <w:rPr>
          <w:rtl w:val="true"/>
        </w:rPr>
        <w:t xml:space="preserve">, </w:t>
      </w:r>
      <w:r>
        <w:rPr>
          <w:rtl w:val="true"/>
        </w:rPr>
        <w:t xml:space="preserve">כשמדובר בנאשם השייך לקבוצת נאשמים </w:t>
      </w:r>
      <w:r>
        <w:rPr>
          <w:rtl w:val="true"/>
        </w:rPr>
        <w:t>"</w:t>
      </w:r>
      <w:r>
        <w:rPr>
          <w:rtl w:val="true"/>
        </w:rPr>
        <w:t>בגירים צעירים</w:t>
      </w:r>
      <w:r>
        <w:rPr>
          <w:rtl w:val="true"/>
        </w:rPr>
        <w:t xml:space="preserve">".  </w:t>
      </w:r>
    </w:p>
    <w:p>
      <w:pPr>
        <w:pStyle w:val="Normal"/>
        <w:numPr>
          <w:ilvl w:val="0"/>
          <w:numId w:val="3"/>
        </w:numPr>
        <w:tabs>
          <w:tab w:val="clear" w:pos="720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בנסיבות הכוללות של העניין סבורני</w:t>
      </w:r>
      <w:r>
        <w:rPr>
          <w:rtl w:val="true"/>
        </w:rPr>
        <w:t xml:space="preserve">, </w:t>
      </w:r>
      <w:r>
        <w:rPr>
          <w:rtl w:val="true"/>
        </w:rPr>
        <w:t>כי משקלם המצטבר של השיקולים לקולא</w:t>
      </w:r>
      <w:r>
        <w:rPr>
          <w:rtl w:val="true"/>
        </w:rPr>
        <w:t xml:space="preserve">, </w:t>
      </w:r>
      <w:r>
        <w:rPr>
          <w:rtl w:val="true"/>
        </w:rPr>
        <w:t>מצדיק בנסיבותיו הפרטניות של המקרה דנן את העדפת הפן השיקומי על פני הפן ההרתעתי</w:t>
      </w:r>
      <w:r>
        <w:rPr>
          <w:rtl w:val="true"/>
        </w:rPr>
        <w:t xml:space="preserve">, </w:t>
      </w:r>
      <w:r>
        <w:rPr>
          <w:rtl w:val="true"/>
        </w:rPr>
        <w:t>בין היתר בשים לב לכך</w:t>
      </w:r>
      <w:r>
        <w:rPr>
          <w:rtl w:val="true"/>
        </w:rPr>
        <w:t xml:space="preserve">, </w:t>
      </w:r>
      <w:r>
        <w:rPr>
          <w:rtl w:val="true"/>
        </w:rPr>
        <w:t>שהנאשם שהה במעצר מאחורי סורג ובריח משך כחודש ימים ומעצר בית ממושך לאחריו</w:t>
      </w:r>
      <w:r>
        <w:rPr>
          <w:rtl w:val="true"/>
        </w:rPr>
        <w:t xml:space="preserve">, </w:t>
      </w:r>
      <w:r>
        <w:rPr>
          <w:rtl w:val="true"/>
        </w:rPr>
        <w:t>אשר חידדו עבורו את הפסול שבמעשיו</w:t>
      </w:r>
      <w:r>
        <w:rPr>
          <w:rtl w:val="true"/>
        </w:rPr>
        <w:t xml:space="preserve">; </w:t>
      </w:r>
      <w:r>
        <w:rPr>
          <w:rtl w:val="true"/>
        </w:rPr>
        <w:t>משכך החלטתי לאמץ את המלצות שירות המבחן</w:t>
      </w:r>
      <w:r>
        <w:rPr>
          <w:rtl w:val="true"/>
        </w:rPr>
        <w:t xml:space="preserve">, </w:t>
      </w:r>
      <w:r>
        <w:rPr>
          <w:rtl w:val="true"/>
        </w:rPr>
        <w:t>על מנת ליתן הזדמנות לנאשם להמשיך ולצעוד בדרך השיקום וכדי למנוע את חשיפתו לתרבות עבריינית אם יישלח לריצוי מאסר מאחורי סורג ובריח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>לאור המקובץ לעיל</w:t>
      </w:r>
      <w:r>
        <w:rPr>
          <w:rtl w:val="true"/>
        </w:rPr>
        <w:t xml:space="preserve">, </w:t>
      </w:r>
      <w:r>
        <w:rPr>
          <w:rtl w:val="true"/>
        </w:rPr>
        <w:t>ובשים לב לקביעת מתחם העונש ההולם לעבירות שביצע הנאשם ובהתחשב בהתקיימותן של נסיבות הקשורות בביצוע העבירות ובנסיבות הקשורות בנאשם</w:t>
      </w:r>
      <w:r>
        <w:rPr>
          <w:rtl w:val="true"/>
        </w:rPr>
        <w:t xml:space="preserve">, </w:t>
      </w:r>
      <w:r>
        <w:rPr>
          <w:rtl w:val="true"/>
        </w:rPr>
        <w:t>החלטתי לגזור על הנאשם את העונשים 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540" w:start="108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אשר ירוצו בעבודות שירות</w:t>
      </w:r>
      <w:r>
        <w:rPr>
          <w:rtl w:val="true"/>
        </w:rPr>
        <w:t xml:space="preserve">, </w:t>
      </w:r>
      <w:r>
        <w:rPr>
          <w:rtl w:val="true"/>
        </w:rPr>
        <w:t>כפוף לחוות דעת הממונה על עבודות 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4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למשך שנתיים לבל יעבור עבירה בנשק בניגוד </w:t>
      </w:r>
      <w:hyperlink r:id="rId63">
        <w:r>
          <w:rPr>
            <w:rStyle w:val="Hyperlink"/>
            <w:color w:val="0000FF"/>
            <w:u w:val="single"/>
            <w:rtl w:val="true"/>
          </w:rPr>
          <w:t xml:space="preserve">לסעיף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4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וכל עבירה נוספת בה 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40" w:start="108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צו מבחן למשך שנתיים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40" w:start="108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 xml:space="preserve">קנס בסך </w:t>
      </w:r>
      <w:r>
        <w:rPr/>
        <w:t>2,000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תוך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-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</w:tabs>
        <w:spacing w:lineRule="auto" w:line="360"/>
        <w:ind w:hanging="540" w:start="540" w:end="0"/>
        <w:jc w:val="both"/>
        <w:rPr/>
      </w:pPr>
      <w:r>
        <w:rPr>
          <w:rtl w:val="true"/>
        </w:rPr>
        <w:t xml:space="preserve">הממונה על עבודות השירות מתבקש להגיש חוות דעת אודות הנאשם וזאת עד ליום </w:t>
      </w:r>
      <w:r>
        <w:rPr/>
        <w:t>30.5.13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540" w:end="0"/>
        <w:jc w:val="both"/>
        <w:rPr/>
      </w:pPr>
      <w:r>
        <w:rPr>
          <w:rtl w:val="true"/>
        </w:rPr>
        <w:t>ניתן  לזמן את הנאשם באמצעות בא כוחו עו</w:t>
      </w:r>
      <w:r>
        <w:rPr>
          <w:rtl w:val="true"/>
        </w:rPr>
        <w:t>"</w:t>
      </w:r>
      <w:r>
        <w:rPr>
          <w:rtl w:val="true"/>
        </w:rPr>
        <w:t xml:space="preserve">ד איברהים סלימאן פקס </w:t>
      </w:r>
      <w:r>
        <w:rPr/>
        <w:t>04-8102094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540" w:end="0"/>
        <w:jc w:val="both"/>
        <w:rPr/>
      </w:pPr>
      <w:r>
        <w:rPr>
          <w:rtl w:val="true"/>
        </w:rPr>
        <w:t xml:space="preserve">אני קובע את התיק להמשך דיון ליום </w:t>
      </w:r>
      <w:r>
        <w:rPr/>
        <w:t>3.6.13</w:t>
      </w:r>
      <w:r>
        <w:rPr>
          <w:rtl w:val="true"/>
        </w:rPr>
        <w:t xml:space="preserve"> </w:t>
      </w:r>
      <w:r>
        <w:rPr>
          <w:rtl w:val="true"/>
        </w:rPr>
        <w:t xml:space="preserve">שעה </w:t>
      </w:r>
      <w:r>
        <w:rPr/>
        <w:t>11:00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>ניתן והודע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אייר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23/04/2013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המזכירות תמציא העתק לממונה על עבודות השירות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FFFFFF"/>
                <w:sz w:val="2"/>
                <w:szCs w:val="2"/>
                <w:lang w:val="en-IL" w:eastAsia="en-IL"/>
              </w:rPr>
              <w:t>54678313</w:t>
            </w:r>
            <w:r>
              <w:rPr>
                <w:rFonts w:cs="Times New Roman" w:ascii="Times New Roman" w:hAnsi="Times New Roman"/>
                <w:rtl w:val="true"/>
                <w:lang w:val="en-IL" w:eastAsia="en-IL"/>
              </w:rPr>
              <w:drawing>
                <wp:inline distT="0" distB="0" distL="0" distR="0">
                  <wp:extent cx="845820" cy="507365"/>
                  <wp:effectExtent l="0" t="0" r="0" b="0"/>
                  <wp:docPr id="1" name="Picture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 l="-43" t="-71" r="-43" b="-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5073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שאהר אטרש</w:t>
            </w:r>
            <w:r>
              <w:rPr>
                <w:rFonts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אירית</w:t>
      </w:r>
      <w:r>
        <w:rPr>
          <w:rtl w:val="true"/>
        </w:rPr>
        <w:t xml:space="preserve"> </w:t>
      </w:r>
      <w:r>
        <w:rPr>
          <w:rtl w:val="true"/>
        </w:rPr>
        <w:t xml:space="preserve">אסולין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שאהר אטרש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6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7"/>
      <w:footerReference w:type="default" r:id="rId6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38015-01-12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עבד אלכרים בן ג</w:t>
    </w:r>
    <w:r>
      <w:rPr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מאל סלימאן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6"/>
      <w:numFmt w:val="decimal"/>
      <w:lvlText w:val="%1."/>
      <w:lvlJc w:val="end"/>
      <w:pPr>
        <w:ind w:start="180" w:hanging="360"/>
      </w:pPr>
      <w:rPr>
        <w:rFonts w:cs="Times New Roman"/>
      </w:rPr>
    </w:lvl>
  </w:abstractNum>
  <w:abstractNum w:abstractNumId="3">
    <w:lvl w:ilvl="0">
      <w:start w:val="22"/>
      <w:numFmt w:val="decimal"/>
      <w:lvlText w:val="%1."/>
      <w:lvlJc w:val="end"/>
      <w:pPr>
        <w:tabs>
          <w:tab w:val="num" w:pos="0"/>
        </w:tabs>
        <w:ind w:start="0" w:hanging="360"/>
      </w:pPr>
      <w:rPr>
        <w:b w:val="false"/>
        <w:bCs w:val="false"/>
        <w:rFonts w:cs="Times New Roman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u w:val="none"/>
        <w:b/>
        <w:bCs w:val="false"/>
        <w:rFonts w:cs="Times New Roman"/>
      </w:rPr>
    </w:lvl>
    <w:lvl w:ilvl="1">
      <w:start w:val="1"/>
      <w:numFmt w:val="hebrew1"/>
      <w:lvlText w:val="%2."/>
      <w:lvlJc w:val="center"/>
      <w:pPr>
        <w:tabs>
          <w:tab w:val="num" w:pos="1080"/>
        </w:tabs>
        <w:ind w:start="1080" w:hanging="360"/>
      </w:pPr>
      <w:rPr>
        <w:sz w:val="2"/>
        <w:u w:val="none"/>
        <w:b w:val="false"/>
        <w:szCs w:val="22"/>
        <w:rFonts w:cs="Times New Roman"/>
      </w:rPr>
    </w:lvl>
    <w:lvl w:ilvl="2">
      <w:start w:val="1"/>
      <w:numFmt w:val="decimal"/>
      <w:lvlText w:val="%3."/>
      <w:lvlJc w:val="start"/>
      <w:pPr>
        <w:tabs>
          <w:tab w:val="num" w:pos="1980"/>
        </w:tabs>
        <w:ind w:start="1980" w:hanging="360"/>
      </w:pPr>
      <w:rPr>
        <w:u w:val="none"/>
        <w:b/>
        <w:bCs w:val="false"/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520"/>
        </w:tabs>
        <w:ind w:start="252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240"/>
        </w:tabs>
        <w:ind w:start="324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3960"/>
        </w:tabs>
        <w:ind w:start="396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4680"/>
        </w:tabs>
        <w:ind w:start="468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400"/>
        </w:tabs>
        <w:ind w:start="540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120"/>
        </w:tabs>
        <w:ind w:start="612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38015-01-12"/>
    <w:docVar w:name="caseId" w:val="70042663"/>
    <w:docVar w:name="deriveClass" w:val="NGCS.Protocol.BL.Client.ProtocolBLClientCriminal"/>
    <w:docVar w:name="firstPageNumber" w:val="48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ëåìí"/>
    <w:docVar w:name="privellegeId" w:val="1"/>
    <w:docVar w:name="protocolId" w:val="3771565"/>
    <w:docVar w:name="releaseSign" w:val="0"/>
    <w:docVar w:name="sittingDateTime" w:val="23/04/2013 13:00     "/>
    <w:docVar w:name="sittingId" w:val="75107073"/>
    <w:docVar w:name="sittingTypeId" w:val="2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start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hanging="0" w:start="0" w:end="0"/>
      <w:jc w:val="start"/>
      <w:outlineLvl w:val="2"/>
    </w:pPr>
    <w:rPr>
      <w:b/>
      <w:bCs/>
      <w:sz w:val="26"/>
      <w:szCs w:val="26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b w:val="false"/>
      <w:u w:val="none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cs="Times New Roman"/>
      <w:b w:val="false"/>
      <w:bCs w:val="false"/>
    </w:rPr>
  </w:style>
  <w:style w:type="character" w:styleId="WW8Num9z1">
    <w:name w:val="WW8Num9z1"/>
    <w:qFormat/>
    <w:rPr>
      <w:rFonts w:cs="Times New Roman"/>
    </w:rPr>
  </w:style>
  <w:style w:type="character" w:styleId="WW8Num10z0">
    <w:name w:val="WW8Num10z0"/>
    <w:qFormat/>
    <w:rPr>
      <w:rFonts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2z0">
    <w:name w:val="WW8Num12z0"/>
    <w:qFormat/>
    <w:rPr>
      <w:rFonts w:cs="Times New Roman"/>
      <w:b/>
      <w:bCs w:val="false"/>
      <w:u w:val="none"/>
    </w:rPr>
  </w:style>
  <w:style w:type="character" w:styleId="WW8Num12z1">
    <w:name w:val="WW8Num12z1"/>
    <w:qFormat/>
    <w:rPr>
      <w:rFonts w:cs="Times New Roman"/>
      <w:b w:val="false"/>
      <w:sz w:val="2"/>
      <w:szCs w:val="22"/>
      <w:u w:val="none"/>
    </w:rPr>
  </w:style>
  <w:style w:type="character" w:styleId="WW8Num12z2">
    <w:name w:val="WW8Num12z2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4z1">
    <w:name w:val="WW8Num14z1"/>
    <w:qFormat/>
    <w:rPr>
      <w:rFonts w:cs="Times New Roman"/>
    </w:rPr>
  </w:style>
  <w:style w:type="character" w:styleId="WW8Num15z0">
    <w:name w:val="WW8Num15z0"/>
    <w:qFormat/>
    <w:rPr>
      <w:rFonts w:cs="Times New Roman"/>
      <w:b/>
      <w:bCs w:val="false"/>
      <w:u w:val="none"/>
    </w:rPr>
  </w:style>
  <w:style w:type="character" w:styleId="WW8Num15z1">
    <w:name w:val="WW8Num15z1"/>
    <w:qFormat/>
    <w:rPr>
      <w:rFonts w:cs="Times New Roman"/>
      <w:b w:val="false"/>
      <w:sz w:val="2"/>
      <w:szCs w:val="22"/>
      <w:u w:val="none"/>
    </w:rPr>
  </w:style>
  <w:style w:type="character" w:styleId="WW8Num15z3">
    <w:name w:val="WW8Num15z3"/>
    <w:qFormat/>
    <w:rPr>
      <w:rFonts w:cs="Times New Roman"/>
    </w:rPr>
  </w:style>
  <w:style w:type="character" w:styleId="WW8Num16z0">
    <w:name w:val="WW8Num16z0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WW8Num17z1">
    <w:name w:val="WW8Num17z1"/>
    <w:qFormat/>
    <w:rPr>
      <w:rFonts w:cs="Times New Roman"/>
    </w:rPr>
  </w:style>
  <w:style w:type="character" w:styleId="WW8Num18z0">
    <w:name w:val="WW8Num18z0"/>
    <w:qFormat/>
    <w:rPr>
      <w:rFonts w:cs="Times New Roman"/>
    </w:rPr>
  </w:style>
  <w:style w:type="character" w:styleId="WW8Num18z1">
    <w:name w:val="WW8Num18z1"/>
    <w:qFormat/>
    <w:rPr>
      <w:rFonts w:cs="Times New Roman"/>
    </w:rPr>
  </w:style>
  <w:style w:type="character" w:styleId="WW8Num19z0">
    <w:name w:val="WW8Num19z0"/>
    <w:qFormat/>
    <w:rPr>
      <w:rFonts w:cs="Times New Roman"/>
    </w:rPr>
  </w:style>
  <w:style w:type="character" w:styleId="WW8Num20z0">
    <w:name w:val="WW8Num20z0"/>
    <w:qFormat/>
    <w:rPr>
      <w:rFonts w:cs="Times New Roman"/>
    </w:rPr>
  </w:style>
  <w:style w:type="character" w:styleId="WW8Num20z1">
    <w:name w:val="WW8Num20z1"/>
    <w:qFormat/>
    <w:rPr>
      <w:rFonts w:cs="Times New Roman"/>
    </w:rPr>
  </w:style>
  <w:style w:type="character" w:styleId="WW8Num21z0">
    <w:name w:val="WW8Num21z0"/>
    <w:qFormat/>
    <w:rPr>
      <w:rFonts w:cs="Times New Roman"/>
    </w:rPr>
  </w:style>
  <w:style w:type="character" w:styleId="WW8Num22z0">
    <w:name w:val="WW8Num22z0"/>
    <w:qFormat/>
    <w:rPr>
      <w:rFonts w:cs="Times New Roman"/>
    </w:rPr>
  </w:style>
  <w:style w:type="character" w:styleId="WW8Num23z0">
    <w:name w:val="WW8Num23z0"/>
    <w:qFormat/>
    <w:rPr>
      <w:rFonts w:cs="Times New Roman"/>
    </w:rPr>
  </w:style>
  <w:style w:type="character" w:styleId="WW8Num24z0">
    <w:name w:val="WW8Num24z0"/>
    <w:qFormat/>
    <w:rPr>
      <w:rFonts w:cs="Times New Roman"/>
    </w:rPr>
  </w:style>
  <w:style w:type="character" w:styleId="WW8Num24z1">
    <w:name w:val="WW8Num24z1"/>
    <w:qFormat/>
    <w:rPr>
      <w:rFonts w:cs="Times New Roman"/>
    </w:rPr>
  </w:style>
  <w:style w:type="character" w:styleId="WW8Num25z0">
    <w:name w:val="WW8Num25z0"/>
    <w:qFormat/>
    <w:rPr>
      <w:rFonts w:cs="Times New Roman"/>
    </w:rPr>
  </w:style>
  <w:style w:type="character" w:styleId="WW8Num25z1">
    <w:name w:val="WW8Num25z1"/>
    <w:qFormat/>
    <w:rPr>
      <w:rFonts w:cs="Times New Roman"/>
    </w:rPr>
  </w:style>
  <w:style w:type="character" w:styleId="WW8Num26z0">
    <w:name w:val="WW8Num26z0"/>
    <w:qFormat/>
    <w:rPr>
      <w:rFonts w:cs="Times New Roman"/>
    </w:rPr>
  </w:style>
  <w:style w:type="character" w:styleId="WW8Num27z0">
    <w:name w:val="WW8Num27z0"/>
    <w:qFormat/>
    <w:rPr>
      <w:rFonts w:cs="Times New Roman"/>
    </w:rPr>
  </w:style>
  <w:style w:type="character" w:styleId="WW8Num27z1">
    <w:name w:val="WW8Num27z1"/>
    <w:qFormat/>
    <w:rPr>
      <w:rFonts w:cs="Times New Roman"/>
    </w:rPr>
  </w:style>
  <w:style w:type="character" w:styleId="WW8Num28z0">
    <w:name w:val="WW8Num28z0"/>
    <w:qFormat/>
    <w:rPr>
      <w:rFonts w:cs="Times New Roman"/>
    </w:rPr>
  </w:style>
  <w:style w:type="character" w:styleId="WW8Num29z0">
    <w:name w:val="WW8Num29z0"/>
    <w:qFormat/>
    <w:rPr>
      <w:rFonts w:cs="Times New Roman"/>
    </w:rPr>
  </w:style>
  <w:style w:type="character" w:styleId="WW8Num30z0">
    <w:name w:val="WW8Num30z0"/>
    <w:qFormat/>
    <w:rPr>
      <w:rFonts w:cs="Times New Roman"/>
      <w:b w:val="false"/>
      <w:bCs w:val="false"/>
    </w:rPr>
  </w:style>
  <w:style w:type="character" w:styleId="WW8Num30z1">
    <w:name w:val="WW8Num30z1"/>
    <w:qFormat/>
    <w:rPr>
      <w:rFonts w:cs="David"/>
      <w:sz w:val="24"/>
      <w:szCs w:val="24"/>
    </w:rPr>
  </w:style>
  <w:style w:type="character" w:styleId="WW8Num30z2">
    <w:name w:val="WW8Num30z2"/>
    <w:qFormat/>
    <w:rPr>
      <w:rFonts w:cs="Times New Roman"/>
    </w:rPr>
  </w:style>
  <w:style w:type="character" w:styleId="WW8Num31z0">
    <w:name w:val="WW8Num31z0"/>
    <w:qFormat/>
    <w:rPr>
      <w:rFonts w:cs="Times New Roman"/>
    </w:rPr>
  </w:style>
  <w:style w:type="character" w:styleId="WW8Num32z0">
    <w:name w:val="WW8Num32z0"/>
    <w:qFormat/>
    <w:rPr>
      <w:rFonts w:cs="Times New Roman"/>
      <w:b w:val="false"/>
      <w:bCs w:val="false"/>
    </w:rPr>
  </w:style>
  <w:style w:type="character" w:styleId="WW8Num32z1">
    <w:name w:val="WW8Num32z1"/>
    <w:qFormat/>
    <w:rPr>
      <w:rFonts w:cs="Times New Roman"/>
    </w:rPr>
  </w:style>
  <w:style w:type="character" w:styleId="WW8Num33z0">
    <w:name w:val="WW8Num33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rFonts w:cs="Times New Roman"/>
      <w:sz w:val="16"/>
      <w:szCs w:val="16"/>
    </w:rPr>
  </w:style>
  <w:style w:type="character" w:styleId="PageNumber">
    <w:name w:val="page number"/>
    <w:basedOn w:val="DefaultParagraphFont"/>
    <w:rPr>
      <w:rFonts w:cs="Times New Roman"/>
    </w:rPr>
  </w:style>
  <w:style w:type="character" w:styleId="LineNumber">
    <w:name w:val="line number"/>
    <w:basedOn w:val="DefaultParagraphFont"/>
    <w:rPr>
      <w:rFonts w:cs="Arial"/>
      <w:sz w:val="20"/>
      <w:szCs w:val="20"/>
    </w:rPr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  <w:lang w:bidi="he-IL"/>
    </w:rPr>
  </w:style>
  <w:style w:type="character" w:styleId="FooterChar">
    <w:name w:val="Footer Char"/>
    <w:basedOn w:val="DefaultParagraphFont"/>
    <w:qFormat/>
    <w:rPr>
      <w:rFonts w:cs="Times New Roman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sz w:val="20"/>
      <w:szCs w:val="20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ind w:hanging="0" w:start="0" w:end="0"/>
      <w:jc w:val="both"/>
    </w:pPr>
    <w:rPr>
      <w:rFonts w:ascii="Arial" w:hAnsi="Arial" w:eastAsia="David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rFonts w:ascii="Times New Roman" w:hAnsi="Times New Roman" w:eastAsia="David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ind w:hanging="0" w:start="0" w:end="0"/>
      <w:jc w:val="both"/>
    </w:pPr>
    <w:rPr>
      <w:rFonts w:ascii="Times New Roman" w:hAnsi="Times New Roman" w:eastAsia="David" w:cs="Times New Roman"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overflowPunct w:val="false"/>
      <w:autoSpaceDE w:val="false"/>
      <w:spacing w:lineRule="auto" w:line="360"/>
      <w:ind w:hanging="0" w:start="0" w:end="0"/>
      <w:jc w:val="both"/>
    </w:pPr>
    <w:rPr>
      <w:rFonts w:ascii="Arial TUR;Arial" w:hAnsi="Arial TUR;Arial" w:eastAsia="David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c.b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275" TargetMode="External"/><Relationship Id="rId10" Type="http://schemas.openxmlformats.org/officeDocument/2006/relationships/hyperlink" Target="http://www.nevo.co.il/law/70301/338.a.1" TargetMode="External"/><Relationship Id="rId11" Type="http://schemas.openxmlformats.org/officeDocument/2006/relationships/hyperlink" Target="http://www.nevo.co.il/law/70301/40ja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5227" TargetMode="External"/><Relationship Id="rId14" Type="http://schemas.openxmlformats.org/officeDocument/2006/relationships/hyperlink" Target="http://www.nevo.co.il/law/5227/43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275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38.a.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5227/43" TargetMode="External"/><Relationship Id="rId28" Type="http://schemas.openxmlformats.org/officeDocument/2006/relationships/hyperlink" Target="http://www.nevo.co.il/law/5227" TargetMode="External"/><Relationship Id="rId29" Type="http://schemas.openxmlformats.org/officeDocument/2006/relationships/hyperlink" Target="http://www.nevo.co.il/case/5977355" TargetMode="External"/><Relationship Id="rId30" Type="http://schemas.openxmlformats.org/officeDocument/2006/relationships/hyperlink" Target="http://www.nevo.co.il/case/5724364" TargetMode="External"/><Relationship Id="rId31" Type="http://schemas.openxmlformats.org/officeDocument/2006/relationships/hyperlink" Target="http://www.nevo.co.il/case/5594385" TargetMode="External"/><Relationship Id="rId32" Type="http://schemas.openxmlformats.org/officeDocument/2006/relationships/hyperlink" Target="http://www.nevo.co.il/case/5598555" TargetMode="External"/><Relationship Id="rId33" Type="http://schemas.openxmlformats.org/officeDocument/2006/relationships/hyperlink" Target="http://www.nevo.co.il/case/5995135" TargetMode="External"/><Relationship Id="rId34" Type="http://schemas.openxmlformats.org/officeDocument/2006/relationships/hyperlink" Target="http://www.nevo.co.il/case/5821327" TargetMode="External"/><Relationship Id="rId35" Type="http://schemas.openxmlformats.org/officeDocument/2006/relationships/hyperlink" Target="http://www.nevo.co.il/case/6151556" TargetMode="External"/><Relationship Id="rId36" Type="http://schemas.openxmlformats.org/officeDocument/2006/relationships/hyperlink" Target="http://www.nevo.co.il/law/70301/144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144.b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5608029" TargetMode="External"/><Relationship Id="rId41" Type="http://schemas.openxmlformats.org/officeDocument/2006/relationships/hyperlink" Target="http://www.nevo.co.il/case/5887664" TargetMode="External"/><Relationship Id="rId42" Type="http://schemas.openxmlformats.org/officeDocument/2006/relationships/hyperlink" Target="http://www.nevo.co.il/law/70301/144.a" TargetMode="External"/><Relationship Id="rId43" Type="http://schemas.openxmlformats.org/officeDocument/2006/relationships/hyperlink" Target="http://www.nevo.co.il/law/70301/144.b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144.a" TargetMode="External"/><Relationship Id="rId46" Type="http://schemas.openxmlformats.org/officeDocument/2006/relationships/hyperlink" Target="http://www.nevo.co.il/law/70301/144.b" TargetMode="External"/><Relationship Id="rId47" Type="http://schemas.openxmlformats.org/officeDocument/2006/relationships/hyperlink" Target="http://www.nevo.co.il/law/70301/499.a.1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144.a" TargetMode="External"/><Relationship Id="rId50" Type="http://schemas.openxmlformats.org/officeDocument/2006/relationships/hyperlink" Target="http://www.nevo.co.il/law/70301/144.b" TargetMode="External"/><Relationship Id="rId51" Type="http://schemas.openxmlformats.org/officeDocument/2006/relationships/hyperlink" Target="http://www.nevo.co.il/law/70301/29" TargetMode="External"/><Relationship Id="rId52" Type="http://schemas.openxmlformats.org/officeDocument/2006/relationships/hyperlink" Target="http://www.nevo.co.il/law/70301/499.a.1" TargetMode="External"/><Relationship Id="rId53" Type="http://schemas.openxmlformats.org/officeDocument/2006/relationships/hyperlink" Target="http://www.nevo.co.il/law/70301/144.a" TargetMode="External"/><Relationship Id="rId54" Type="http://schemas.openxmlformats.org/officeDocument/2006/relationships/hyperlink" Target="http://www.nevo.co.il/law/70301/144.b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case/5950172" TargetMode="External"/><Relationship Id="rId57" Type="http://schemas.openxmlformats.org/officeDocument/2006/relationships/hyperlink" Target="http://www.nevo.co.il/law/70301/40i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70301/40c.b" TargetMode="External"/><Relationship Id="rId60" Type="http://schemas.openxmlformats.org/officeDocument/2006/relationships/hyperlink" Target="http://www.nevo.co.il/law/70301" TargetMode="External"/><Relationship Id="rId61" Type="http://schemas.openxmlformats.org/officeDocument/2006/relationships/hyperlink" Target="http://www.nevo.co.il/law/70301/40ja" TargetMode="External"/><Relationship Id="rId62" Type="http://schemas.openxmlformats.org/officeDocument/2006/relationships/hyperlink" Target="http://www.nevo.co.il/case/5604276" TargetMode="External"/><Relationship Id="rId63" Type="http://schemas.openxmlformats.org/officeDocument/2006/relationships/hyperlink" Target="http://www.nevo.co.il/law/70301/144" TargetMode="External"/><Relationship Id="rId64" Type="http://schemas.openxmlformats.org/officeDocument/2006/relationships/hyperlink" Target="http://www.nevo.co.il/law/70301" TargetMode="External"/><Relationship Id="rId65" Type="http://schemas.openxmlformats.org/officeDocument/2006/relationships/image" Target="media/image1.png"/><Relationship Id="rId66" Type="http://schemas.openxmlformats.org/officeDocument/2006/relationships/hyperlink" Target="http://www.nevo.co.il/advertisements/nevo-100.doc" TargetMode="External"/><Relationship Id="rId67" Type="http://schemas.openxmlformats.org/officeDocument/2006/relationships/header" Target="header1.xml"/><Relationship Id="rId68" Type="http://schemas.openxmlformats.org/officeDocument/2006/relationships/footer" Target="footer1.xml"/><Relationship Id="rId69" Type="http://schemas.openxmlformats.org/officeDocument/2006/relationships/numbering" Target="numbering.xml"/><Relationship Id="rId70" Type="http://schemas.openxmlformats.org/officeDocument/2006/relationships/fontTable" Target="fontTable.xml"/><Relationship Id="rId71" Type="http://schemas.openxmlformats.org/officeDocument/2006/relationships/settings" Target="settings.xml"/><Relationship Id="rId7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2017-05-16T08:11:00Z</dcterms:created>
  <dc:creator> </dc:creator>
  <dc:description/>
  <cp:keywords/>
  <dc:language>en-IL</dc:language>
  <cp:lastModifiedBy>Hofit</cp:lastModifiedBy>
  <cp:lastPrinted>2013-04-23T13:32:00Z</cp:lastPrinted>
  <dcterms:modified xsi:type="dcterms:W3CDTF">2017-05-16T08:11:00Z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 אלכרים בן ג'מאל סלימאן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ProcID=30&amp;PartA=625&amp;PartC=82</vt:lpwstr>
  </property>
  <property fmtid="{D5CDD505-2E9C-101B-9397-08002B2CF9AE}" pid="9" name="CASENOTES2">
    <vt:lpwstr>ProcID=133;209&amp;PartA=555&amp;PartC=11</vt:lpwstr>
  </property>
  <property fmtid="{D5CDD505-2E9C-101B-9397-08002B2CF9AE}" pid="10" name="CASENOTES3">
    <vt:lpwstr>ProcID=209&amp;PartA=1111&amp;PartC=04</vt:lpwstr>
  </property>
  <property fmtid="{D5CDD505-2E9C-101B-9397-08002B2CF9AE}" pid="11" name="CASENOTES4">
    <vt:lpwstr>ProcID=209&amp;PartA=1167&amp;PartC=02</vt:lpwstr>
  </property>
  <property fmtid="{D5CDD505-2E9C-101B-9397-08002B2CF9AE}" pid="12" name="CASENOTES5">
    <vt:lpwstr>ProcID=209&amp;PartA=114&amp;PartC=08</vt:lpwstr>
  </property>
  <property fmtid="{D5CDD505-2E9C-101B-9397-08002B2CF9AE}" pid="13" name="CASENOTES6">
    <vt:lpwstr>ProcID=209&amp;PartA=8182&amp;PartC=08</vt:lpwstr>
  </property>
  <property fmtid="{D5CDD505-2E9C-101B-9397-08002B2CF9AE}" pid="14" name="CASESLISTTMP1">
    <vt:lpwstr>5977355;5724364;5594385;5598555;5995135;5821327;6151556;5608029;5887664;5950172;5604276</vt:lpwstr>
  </property>
  <property fmtid="{D5CDD505-2E9C-101B-9397-08002B2CF9AE}" pid="15" name="CITY">
    <vt:lpwstr>נצ'</vt:lpwstr>
  </property>
  <property fmtid="{D5CDD505-2E9C-101B-9397-08002B2CF9AE}" pid="16" name="DATE">
    <vt:lpwstr>20130423</vt:lpwstr>
  </property>
  <property fmtid="{D5CDD505-2E9C-101B-9397-08002B2CF9AE}" pid="17" name="DELEMATA">
    <vt:lpwstr/>
  </property>
  <property fmtid="{D5CDD505-2E9C-101B-9397-08002B2CF9AE}" pid="18" name="ISABSTRACT">
    <vt:lpwstr>Y</vt:lpwstr>
  </property>
  <property fmtid="{D5CDD505-2E9C-101B-9397-08002B2CF9AE}" pid="19" name="JUDGE">
    <vt:lpwstr>שאהר אטרש</vt:lpwstr>
  </property>
  <property fmtid="{D5CDD505-2E9C-101B-9397-08002B2CF9AE}" pid="20" name="LAWLISTTMP1">
    <vt:lpwstr>70301/144.a:6;144.b:7;275;338.a.1;144:2;499.a.1:2;029;040i;040c.b;40ja</vt:lpwstr>
  </property>
  <property fmtid="{D5CDD505-2E9C-101B-9397-08002B2CF9AE}" pid="21" name="LAWLISTTMP2">
    <vt:lpwstr>5227/043</vt:lpwstr>
  </property>
  <property fmtid="{D5CDD505-2E9C-101B-9397-08002B2CF9AE}" pid="22" name="LAWYER">
    <vt:lpwstr>אבראהים סלימאן;ויאאם קבלאוי;ו אבראהים סלימאן</vt:lpwstr>
  </property>
  <property fmtid="{D5CDD505-2E9C-101B-9397-08002B2CF9AE}" pid="23" name="LINKK1">
    <vt:lpwstr/>
  </property>
  <property fmtid="{D5CDD505-2E9C-101B-9397-08002B2CF9AE}" pid="24" name="LINKK2">
    <vt:lpwstr/>
  </property>
  <property fmtid="{D5CDD505-2E9C-101B-9397-08002B2CF9AE}" pid="25" name="LINKK3">
    <vt:lpwstr/>
  </property>
  <property fmtid="{D5CDD505-2E9C-101B-9397-08002B2CF9AE}" pid="26" name="LINKK4">
    <vt:lpwstr/>
  </property>
  <property fmtid="{D5CDD505-2E9C-101B-9397-08002B2CF9AE}" pid="27" name="LINKK5">
    <vt:lpwstr/>
  </property>
  <property fmtid="{D5CDD505-2E9C-101B-9397-08002B2CF9AE}" pid="28" name="NEWPARTA">
    <vt:lpwstr>38015</vt:lpwstr>
  </property>
  <property fmtid="{D5CDD505-2E9C-101B-9397-08002B2CF9AE}" pid="29" name="NEWPARTB">
    <vt:lpwstr>01</vt:lpwstr>
  </property>
  <property fmtid="{D5CDD505-2E9C-101B-9397-08002B2CF9AE}" pid="30" name="NEWPARTC">
    <vt:lpwstr>12</vt:lpwstr>
  </property>
  <property fmtid="{D5CDD505-2E9C-101B-9397-08002B2CF9AE}" pid="31" name="NEWPROC">
    <vt:lpwstr>תפ</vt:lpwstr>
  </property>
  <property fmtid="{D5CDD505-2E9C-101B-9397-08002B2CF9AE}" pid="32" name="PADIMAIL">
    <vt:lpwstr/>
  </property>
  <property fmtid="{D5CDD505-2E9C-101B-9397-08002B2CF9AE}" pid="33" name="PAGE">
    <vt:lpwstr/>
  </property>
  <property fmtid="{D5CDD505-2E9C-101B-9397-08002B2CF9AE}" pid="34" name="PART">
    <vt:lpwstr/>
  </property>
  <property fmtid="{D5CDD505-2E9C-101B-9397-08002B2CF9AE}" pid="35" name="PROCESS">
    <vt:lpwstr/>
  </property>
  <property fmtid="{D5CDD505-2E9C-101B-9397-08002B2CF9AE}" pid="36" name="PROCNUM">
    <vt:lpwstr/>
  </property>
  <property fmtid="{D5CDD505-2E9C-101B-9397-08002B2CF9AE}" pid="37" name="PROCYEAR">
    <vt:lpwstr/>
  </property>
  <property fmtid="{D5CDD505-2E9C-101B-9397-08002B2CF9AE}" pid="38" name="PSAKDIN">
    <vt:lpwstr>גזר-דין</vt:lpwstr>
  </property>
  <property fmtid="{D5CDD505-2E9C-101B-9397-08002B2CF9AE}" pid="39" name="TYPE">
    <vt:lpwstr>2</vt:lpwstr>
  </property>
  <property fmtid="{D5CDD505-2E9C-101B-9397-08002B2CF9AE}" pid="40" name="TYPE_ABS_DATE">
    <vt:lpwstr>390020130423</vt:lpwstr>
  </property>
  <property fmtid="{D5CDD505-2E9C-101B-9397-08002B2CF9AE}" pid="41" name="TYPE_N_DATE">
    <vt:lpwstr>39020130423</vt:lpwstr>
  </property>
  <property fmtid="{D5CDD505-2E9C-101B-9397-08002B2CF9AE}" pid="42" name="VOLUME">
    <vt:lpwstr/>
  </property>
  <property fmtid="{D5CDD505-2E9C-101B-9397-08002B2CF9AE}" pid="43" name="WORDNUMPAGES">
    <vt:lpwstr>11</vt:lpwstr>
  </property>
</Properties>
</file>