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3805-07-10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חמד</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15</w:t>
            </w:r>
            <w:r>
              <w:rPr>
                <w:b/>
                <w:bCs/>
                <w:sz w:val="26"/>
                <w:szCs w:val="26"/>
                <w:rtl w:val="true"/>
              </w:rPr>
              <w:t xml:space="preserve"> </w:t>
            </w:r>
            <w:r>
              <w:rPr>
                <w:b/>
                <w:b/>
                <w:bCs/>
                <w:sz w:val="26"/>
                <w:sz w:val="26"/>
                <w:szCs w:val="26"/>
                <w:rtl w:val="true"/>
              </w:rPr>
              <w:t xml:space="preserve">נובמבר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ind w:end="0"/>
        <w:jc w:val="start"/>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sz w:val="26"/>
                <w:szCs w:val="26"/>
              </w:rPr>
            </w:pPr>
            <w:r>
              <w:rPr>
                <w:b/>
                <w:b/>
                <w:bCs/>
                <w:sz w:val="26"/>
                <w:sz w:val="26"/>
                <w:szCs w:val="26"/>
                <w:rtl w:val="true"/>
              </w:rPr>
              <w:t>בפני כבוד סגן הנשיא</w:t>
            </w:r>
            <w:r>
              <w:rPr>
                <w:b/>
                <w:bCs/>
                <w:sz w:val="26"/>
                <w:szCs w:val="26"/>
                <w:rtl w:val="true"/>
              </w:rPr>
              <w:t xml:space="preserve">, </w:t>
            </w:r>
            <w:r>
              <w:rPr>
                <w:b/>
                <w:b/>
                <w:bCs/>
                <w:sz w:val="26"/>
                <w:sz w:val="26"/>
                <w:szCs w:val="26"/>
                <w:rtl w:val="true"/>
              </w:rPr>
              <w:t>השופט – תאופיק כתילי</w:t>
            </w:r>
          </w:p>
        </w:tc>
      </w:tr>
      <w:tr>
        <w:trPr/>
        <w:tc>
          <w:tcPr>
            <w:tcW w:w="2880"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2"/>
                <w:szCs w:val="22"/>
              </w:rPr>
            </w:pPr>
            <w:r>
              <w:rPr>
                <w:b/>
                <w:b/>
                <w:bCs/>
                <w:sz w:val="22"/>
                <w:sz w:val="22"/>
                <w:szCs w:val="22"/>
                <w:rtl w:val="true"/>
              </w:rPr>
              <w:t>באמצעות פרקליטות מחוז צפון</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עבדאלכרים  עבד</w:t>
            </w:r>
            <w:r>
              <w:rPr>
                <w:b/>
                <w:bCs/>
                <w:sz w:val="26"/>
                <w:szCs w:val="26"/>
                <w:rtl w:val="true"/>
              </w:rPr>
              <w:t>-</w:t>
            </w:r>
            <w:r>
              <w:rPr>
                <w:b/>
                <w:b/>
                <w:bCs/>
                <w:sz w:val="26"/>
                <w:sz w:val="26"/>
                <w:szCs w:val="26"/>
                <w:rtl w:val="true"/>
              </w:rPr>
              <w:t xml:space="preserve">אלקאדר חאמד </w:t>
            </w:r>
            <w:r>
              <w:rPr>
                <w:b/>
                <w:bCs/>
                <w:sz w:val="26"/>
                <w:szCs w:val="26"/>
                <w:rtl w:val="true"/>
              </w:rPr>
              <w:t>(</w:t>
            </w:r>
            <w:r>
              <w:rPr>
                <w:b/>
                <w:b/>
                <w:bCs/>
                <w:sz w:val="26"/>
                <w:sz w:val="26"/>
                <w:szCs w:val="26"/>
                <w:rtl w:val="true"/>
              </w:rPr>
              <w:t>עציר</w:t>
            </w:r>
            <w:r>
              <w:rPr>
                <w:b/>
                <w:bCs/>
                <w:sz w:val="26"/>
                <w:szCs w:val="26"/>
                <w:rtl w:val="true"/>
              </w:rPr>
              <w:t>)</w:t>
            </w:r>
          </w:p>
        </w:tc>
      </w:tr>
    </w:tbl>
    <w:p>
      <w:pPr>
        <w:pStyle w:val="Normal"/>
        <w:ind w:end="0"/>
        <w:jc w:val="start"/>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מטעם</w:t>
      </w:r>
      <w:bookmarkEnd w:id="2"/>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שירי שחף אופק</w:t>
      </w:r>
    </w:p>
    <w:p>
      <w:pPr>
        <w:pStyle w:val="12"/>
        <w:ind w:end="0"/>
        <w:jc w:val="start"/>
        <w:rPr>
          <w:b w:val="false"/>
          <w:bCs w:val="false"/>
          <w:u w:val="none"/>
        </w:rPr>
      </w:pPr>
      <w:r>
        <w:rPr>
          <w:b w:val="false"/>
          <w:b w:val="false"/>
          <w:bCs w:val="false"/>
          <w:u w:val="none"/>
          <w:rtl w:val="true"/>
        </w:rPr>
        <w:t>מטעם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 xml:space="preserve">ד יוסף חאזם </w:t>
      </w:r>
      <w:r>
        <w:rPr>
          <w:b w:val="false"/>
          <w:b w:val="false"/>
          <w:bCs w:val="false"/>
          <w:u w:val="none"/>
          <w:rtl w:val="true"/>
        </w:rPr>
        <w:t>–</w:t>
      </w:r>
      <w:r>
        <w:rPr>
          <w:b w:val="false"/>
          <w:b w:val="false"/>
          <w:bCs w:val="false"/>
          <w:u w:val="none"/>
          <w:rtl w:val="true"/>
        </w:rPr>
        <w:t xml:space="preserve"> סנגוריה ציבורית</w:t>
      </w:r>
    </w:p>
    <w:p>
      <w:pPr>
        <w:pStyle w:val="12"/>
        <w:ind w:end="0"/>
        <w:jc w:val="start"/>
        <w:rPr>
          <w:b w:val="false"/>
          <w:bCs w:val="false"/>
          <w:u w:val="none"/>
        </w:rPr>
      </w:pPr>
      <w:r>
        <w:rPr>
          <w:b w:val="false"/>
          <w:b w:val="false"/>
          <w:bCs w:val="false"/>
          <w:u w:val="none"/>
          <w:rtl w:val="true"/>
        </w:rPr>
        <w:t>הנאשם</w:t>
      </w:r>
      <w:r>
        <w:rPr>
          <w:b w:val="false"/>
          <w:bCs w:val="false"/>
          <w:u w:val="none"/>
          <w:rtl w:val="true"/>
        </w:rPr>
        <w:t xml:space="preserve">: </w:t>
      </w:r>
      <w:r>
        <w:rPr>
          <w:b w:val="false"/>
          <w:b w:val="false"/>
          <w:bCs w:val="false"/>
          <w:u w:val="none"/>
          <w:rtl w:val="true"/>
        </w:rPr>
        <w:t xml:space="preserve">הובא </w:t>
      </w:r>
      <w:r>
        <w:rPr>
          <w:b w:val="false"/>
          <w:bCs w:val="false"/>
          <w:u w:val="none"/>
          <w:rtl w:val="true"/>
        </w:rPr>
        <w:t>[</w:t>
      </w:r>
      <w:r>
        <w:rPr>
          <w:b w:val="false"/>
          <w:b w:val="false"/>
          <w:bCs w:val="false"/>
          <w:u w:val="none"/>
          <w:rtl w:val="true"/>
        </w:rPr>
        <w:t>באמצעות הליווי</w:t>
      </w:r>
      <w:r>
        <w:rPr>
          <w:b w:val="false"/>
          <w:bCs w:val="false"/>
          <w:u w:val="none"/>
          <w:rtl w:val="true"/>
        </w:rPr>
        <w:t>]</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4" w:name="PsakDin"/>
      <w:bookmarkStart w:id="5" w:name="PsakDin"/>
      <w:bookmarkEnd w:id="5"/>
    </w:p>
    <w:p>
      <w:pPr>
        <w:pStyle w:val="Normal"/>
        <w:spacing w:lineRule="auto" w:line="360"/>
        <w:ind w:end="0"/>
        <w:jc w:val="start"/>
        <w:rPr/>
      </w:pPr>
      <w:bookmarkStart w:id="6" w:name="ABSTRACT_START"/>
      <w:bookmarkEnd w:id="6"/>
      <w:r>
        <w:rPr>
          <w:rtl w:val="true"/>
        </w:rPr>
        <w:t>הנאשם</w:t>
      </w:r>
      <w:r>
        <w:rPr>
          <w:rtl w:val="true"/>
        </w:rPr>
        <w:t xml:space="preserve">, </w:t>
      </w:r>
      <w:r>
        <w:rPr>
          <w:rtl w:val="true"/>
        </w:rPr>
        <w:t>עבדאלכרים</w:t>
      </w:r>
      <w:r>
        <w:rPr>
          <w:rtl w:val="true"/>
        </w:rPr>
        <w:t xml:space="preserve">, </w:t>
      </w:r>
      <w:r>
        <w:rPr>
          <w:rtl w:val="true"/>
        </w:rPr>
        <w:t>עבד</w:t>
      </w:r>
      <w:r>
        <w:rPr>
          <w:rtl w:val="true"/>
        </w:rPr>
        <w:t>-</w:t>
      </w:r>
      <w:r>
        <w:rPr>
          <w:rtl w:val="true"/>
        </w:rPr>
        <w:t>אלקאדר חאמד</w:t>
      </w:r>
      <w:r>
        <w:rPr>
          <w:rtl w:val="true"/>
        </w:rPr>
        <w:t xml:space="preserve">, </w:t>
      </w:r>
      <w:r>
        <w:rPr>
          <w:rtl w:val="true"/>
        </w:rPr>
        <w:t>תושב נצרת</w:t>
      </w:r>
      <w:r>
        <w:rPr>
          <w:rtl w:val="true"/>
        </w:rPr>
        <w:t xml:space="preserve">, </w:t>
      </w:r>
      <w:r>
        <w:rPr>
          <w:rtl w:val="true"/>
        </w:rPr>
        <w:t xml:space="preserve">יליד </w:t>
      </w:r>
      <w:r>
        <w:rPr/>
        <w:t>13.3.1991</w:t>
      </w:r>
      <w:r>
        <w:rPr>
          <w:rtl w:val="true"/>
        </w:rPr>
        <w:t xml:space="preserve">, </w:t>
      </w:r>
      <w:r>
        <w:rPr>
          <w:rtl w:val="true"/>
        </w:rPr>
        <w:t>הורשע על פי הודאתו בעובדות כתב האישום המתוקן בעבירות שלהלן</w:t>
      </w:r>
      <w:r>
        <w:rPr>
          <w:rtl w:val="true"/>
        </w:rPr>
        <w:t xml:space="preserve">: </w:t>
      </w:r>
    </w:p>
    <w:p>
      <w:pPr>
        <w:pStyle w:val="Normal"/>
        <w:spacing w:lineRule="auto" w:line="360"/>
        <w:ind w:end="0"/>
        <w:jc w:val="start"/>
        <w:rPr/>
      </w:pPr>
      <w:r>
        <w:rPr>
          <w:b/>
          <w:b/>
          <w:bCs/>
          <w:rtl w:val="true"/>
        </w:rPr>
        <w:t>קשירת קשר לביצוע פשע</w:t>
      </w:r>
      <w:r>
        <w:rPr>
          <w:rtl w:val="true"/>
        </w:rPr>
        <w:t xml:space="preserve"> – עבירה לפי סעיף </w:t>
      </w:r>
      <w:r>
        <w:rPr/>
        <w:t>499</w:t>
      </w:r>
      <w:r>
        <w:rPr>
          <w:rtl w:val="true"/>
        </w:rPr>
        <w:t>(</w:t>
      </w:r>
      <w:r>
        <w:rPr>
          <w:rtl w:val="true"/>
        </w:rPr>
        <w:t>א</w:t>
      </w:r>
      <w:r>
        <w:rPr>
          <w:rtl w:val="true"/>
        </w:rPr>
        <w:t>)(</w:t>
      </w:r>
      <w:r>
        <w:rPr/>
        <w:t>1</w:t>
      </w:r>
      <w:r>
        <w:rPr>
          <w:rtl w:val="true"/>
        </w:rPr>
        <w:t xml:space="preserve">) </w:t>
      </w:r>
      <w:r>
        <w:rPr>
          <w:rtl w:val="true"/>
        </w:rPr>
        <w:t>ל</w:t>
      </w:r>
      <w:hyperlink r:id="rId2">
        <w:r>
          <w:rPr>
            <w:rStyle w:val="Hyperlink"/>
            <w:color w:val="0000FF"/>
            <w:u w:val="single"/>
            <w:rtl w:val="true"/>
          </w:rPr>
          <w:t>חוק העונשין</w:t>
        </w:r>
      </w:hyperlink>
      <w:r>
        <w:rPr>
          <w:rtl w:val="true"/>
        </w:rPr>
        <w:t xml:space="preserve"> תשל</w:t>
      </w:r>
      <w:r>
        <w:rPr>
          <w:rtl w:val="true"/>
        </w:rPr>
        <w:t>"</w:t>
      </w:r>
      <w:r>
        <w:rPr>
          <w:rtl w:val="true"/>
        </w:rPr>
        <w:t>ז</w:t>
      </w:r>
      <w:r>
        <w:rPr>
          <w:rtl w:val="true"/>
        </w:rPr>
        <w:t>-</w:t>
      </w:r>
      <w:r>
        <w:rPr/>
        <w:t>1977</w:t>
      </w:r>
    </w:p>
    <w:p>
      <w:pPr>
        <w:pStyle w:val="Normal"/>
        <w:spacing w:lineRule="auto" w:line="360"/>
        <w:ind w:end="0"/>
        <w:jc w:val="start"/>
        <w:rPr/>
      </w:pPr>
      <w:r>
        <w:rPr>
          <w:b/>
          <w:b/>
          <w:bCs/>
          <w:rtl w:val="true"/>
        </w:rPr>
        <w:t>הובלה ונשיאת נשק</w:t>
      </w:r>
      <w:r>
        <w:rPr>
          <w:rtl w:val="true"/>
        </w:rPr>
        <w:t xml:space="preserve"> – עבירה ע</w:t>
      </w:r>
      <w:r>
        <w:rPr>
          <w:rtl w:val="true"/>
        </w:rPr>
        <w:t>"</w:t>
      </w:r>
      <w:r>
        <w:rPr>
          <w:rtl w:val="true"/>
        </w:rPr>
        <w:t>פ ס</w:t>
      </w:r>
      <w:r>
        <w:rPr>
          <w:rtl w:val="true"/>
        </w:rPr>
        <w:t xml:space="preserve">' </w:t>
      </w:r>
      <w:r>
        <w:rPr/>
        <w:t>144</w:t>
      </w:r>
      <w:r>
        <w:rPr>
          <w:rtl w:val="true"/>
        </w:rPr>
        <w:t xml:space="preserve"> (</w:t>
      </w:r>
      <w:r>
        <w:rPr>
          <w:rtl w:val="true"/>
        </w:rPr>
        <w:t>ב</w:t>
      </w:r>
      <w:r>
        <w:rPr>
          <w:rtl w:val="true"/>
        </w:rPr>
        <w:t xml:space="preserve">) </w:t>
      </w:r>
      <w:r>
        <w:rPr>
          <w:rtl w:val="true"/>
        </w:rPr>
        <w:t>בצירוף לס</w:t>
      </w:r>
      <w:r>
        <w:rPr>
          <w:rtl w:val="true"/>
        </w:rPr>
        <w:t xml:space="preserve">' </w:t>
      </w:r>
      <w:r>
        <w:rPr/>
        <w:t>29</w:t>
      </w:r>
      <w:r>
        <w:rPr>
          <w:rtl w:val="true"/>
        </w:rPr>
        <w:t xml:space="preserve"> </w:t>
      </w:r>
      <w:r>
        <w:rPr>
          <w:rtl w:val="true"/>
        </w:rPr>
        <w:t>ל</w:t>
      </w:r>
      <w:hyperlink r:id="rId3">
        <w:r>
          <w:rPr>
            <w:rStyle w:val="Hyperlink"/>
            <w:color w:val="0000FF"/>
            <w:u w:val="single"/>
            <w:rtl w:val="true"/>
          </w:rPr>
          <w:t>חוק העונשין</w:t>
        </w:r>
      </w:hyperlink>
      <w:r>
        <w:rPr>
          <w:rtl w:val="true"/>
        </w:rPr>
        <w:t xml:space="preserve"> הנ</w:t>
      </w:r>
      <w:r>
        <w:rPr>
          <w:rtl w:val="true"/>
        </w:rPr>
        <w:t>"</w:t>
      </w:r>
      <w:r>
        <w:rPr>
          <w:rtl w:val="true"/>
        </w:rPr>
        <w:t>ל</w:t>
      </w:r>
    </w:p>
    <w:p>
      <w:pPr>
        <w:pStyle w:val="Normal"/>
        <w:spacing w:lineRule="auto" w:line="360"/>
        <w:ind w:end="0"/>
        <w:jc w:val="start"/>
        <w:rPr/>
      </w:pPr>
      <w:r>
        <w:rPr>
          <w:b/>
          <w:b/>
          <w:bCs/>
          <w:rtl w:val="true"/>
        </w:rPr>
        <w:t>החזקת נשק</w:t>
      </w:r>
      <w:r>
        <w:rPr>
          <w:rtl w:val="true"/>
        </w:rPr>
        <w:t xml:space="preserve"> – עבירה לפי ס</w:t>
      </w:r>
      <w:r>
        <w:rPr>
          <w:rtl w:val="true"/>
        </w:rPr>
        <w:t xml:space="preserve">' </w:t>
      </w:r>
      <w:r>
        <w:rPr/>
        <w:t>144</w:t>
      </w:r>
      <w:r>
        <w:rPr>
          <w:rtl w:val="true"/>
        </w:rPr>
        <w:t>(</w:t>
      </w:r>
      <w:r>
        <w:rPr>
          <w:rtl w:val="true"/>
        </w:rPr>
        <w:t>א</w:t>
      </w:r>
      <w:r>
        <w:rPr>
          <w:rtl w:val="true"/>
        </w:rPr>
        <w:t xml:space="preserve">) </w:t>
      </w:r>
      <w:r>
        <w:rPr>
          <w:rtl w:val="true"/>
        </w:rPr>
        <w:t>ל</w:t>
      </w:r>
      <w:hyperlink r:id="rId4">
        <w:r>
          <w:rPr>
            <w:rStyle w:val="Hyperlink"/>
            <w:color w:val="0000FF"/>
            <w:u w:val="single"/>
            <w:rtl w:val="true"/>
          </w:rPr>
          <w:t>חוק העונשין</w:t>
        </w:r>
      </w:hyperlink>
      <w:r>
        <w:rPr>
          <w:rtl w:val="true"/>
        </w:rPr>
        <w:t xml:space="preserve"> הנ</w:t>
      </w:r>
      <w:r>
        <w:rPr>
          <w:rtl w:val="true"/>
        </w:rPr>
        <w:t>"</w:t>
      </w:r>
      <w:r>
        <w:rPr>
          <w:rtl w:val="true"/>
        </w:rPr>
        <w:t>ל</w:t>
      </w:r>
    </w:p>
    <w:p>
      <w:pPr>
        <w:pStyle w:val="Normal"/>
        <w:spacing w:lineRule="auto" w:line="360"/>
        <w:ind w:end="0"/>
        <w:jc w:val="start"/>
        <w:rPr/>
      </w:pPr>
      <w:r>
        <w:rPr>
          <w:b/>
          <w:b/>
          <w:bCs/>
          <w:rtl w:val="true"/>
        </w:rPr>
        <w:t>רכישת נשק</w:t>
      </w:r>
      <w:r>
        <w:rPr>
          <w:rtl w:val="true"/>
        </w:rPr>
        <w:t xml:space="preserve"> – עבירה פי ס</w:t>
      </w:r>
      <w:r>
        <w:rPr>
          <w:rtl w:val="true"/>
        </w:rPr>
        <w:t xml:space="preserve">' </w:t>
      </w:r>
      <w:r>
        <w:rPr/>
        <w:t>144</w:t>
      </w:r>
      <w:r>
        <w:rPr>
          <w:rtl w:val="true"/>
        </w:rPr>
        <w:t>(</w:t>
      </w:r>
      <w:r>
        <w:rPr>
          <w:rtl w:val="true"/>
        </w:rPr>
        <w:t>א</w:t>
      </w:r>
      <w:r>
        <w:rPr>
          <w:rtl w:val="true"/>
        </w:rPr>
        <w:t xml:space="preserve">) </w:t>
      </w:r>
      <w:r>
        <w:rPr>
          <w:rtl w:val="true"/>
        </w:rPr>
        <w:t>ל</w:t>
      </w:r>
      <w:hyperlink r:id="rId5">
        <w:r>
          <w:rPr>
            <w:rStyle w:val="Hyperlink"/>
            <w:color w:val="0000FF"/>
            <w:u w:val="single"/>
            <w:rtl w:val="true"/>
          </w:rPr>
          <w:t>חוק העונשין</w:t>
        </w:r>
      </w:hyperlink>
      <w:r>
        <w:rPr>
          <w:rtl w:val="true"/>
        </w:rPr>
        <w:t xml:space="preserve"> הנ</w:t>
      </w:r>
      <w:r>
        <w:rPr>
          <w:rtl w:val="true"/>
        </w:rPr>
        <w:t>"</w:t>
      </w:r>
      <w:r>
        <w:rPr>
          <w:rtl w:val="true"/>
        </w:rPr>
        <w:t>ל</w:t>
      </w:r>
    </w:p>
    <w:p>
      <w:pPr>
        <w:pStyle w:val="Normal"/>
        <w:spacing w:lineRule="auto" w:line="360"/>
        <w:ind w:end="0"/>
        <w:jc w:val="start"/>
        <w:rPr/>
      </w:pPr>
      <w:r>
        <w:rPr>
          <w:rtl w:val="true"/>
        </w:rPr>
      </w:r>
      <w:bookmarkStart w:id="7" w:name="ABSTRACT_END"/>
      <w:bookmarkStart w:id="8" w:name="ABSTRACT_END"/>
      <w:bookmarkEnd w:id="8"/>
    </w:p>
    <w:p>
      <w:pPr>
        <w:pStyle w:val="Normal"/>
        <w:spacing w:lineRule="auto" w:line="360"/>
        <w:ind w:end="0"/>
        <w:jc w:val="start"/>
        <w:rPr/>
      </w:pPr>
      <w:r>
        <w:rPr>
          <w:rtl w:val="true"/>
        </w:rPr>
        <w:t>כתב האישום מייחס לנאשם שני אירועים שבגינם הורשע בעבירות הנ</w:t>
      </w:r>
      <w:r>
        <w:rPr>
          <w:rtl w:val="true"/>
        </w:rPr>
        <w:t>"</w:t>
      </w:r>
      <w:r>
        <w:rPr>
          <w:rtl w:val="true"/>
        </w:rPr>
        <w:t>ל ואלה הם</w:t>
      </w:r>
      <w:r>
        <w:rPr>
          <w:rtl w:val="true"/>
        </w:rPr>
        <w:t>:</w:t>
      </w:r>
    </w:p>
    <w:p>
      <w:pPr>
        <w:pStyle w:val="Normal"/>
        <w:spacing w:lineRule="auto" w:line="360"/>
        <w:ind w:end="0"/>
        <w:jc w:val="start"/>
        <w:rPr/>
      </w:pPr>
      <w:r>
        <w:rPr>
          <w:rtl w:val="true"/>
        </w:rPr>
      </w:r>
    </w:p>
    <w:p>
      <w:pPr>
        <w:pStyle w:val="Normal"/>
        <w:spacing w:lineRule="auto" w:line="360"/>
        <w:ind w:end="0"/>
        <w:jc w:val="start"/>
        <w:rPr/>
      </w:pPr>
      <w:r>
        <w:rPr>
          <w:b/>
          <w:b/>
          <w:bCs/>
          <w:rtl w:val="true"/>
        </w:rPr>
        <w:t>האחד</w:t>
      </w:r>
      <w:r>
        <w:rPr>
          <w:rtl w:val="true"/>
        </w:rPr>
        <w:t xml:space="preserve">: </w:t>
      </w:r>
      <w:r>
        <w:rPr>
          <w:rtl w:val="true"/>
        </w:rPr>
        <w:t xml:space="preserve">במהלך שנת </w:t>
      </w:r>
      <w:r>
        <w:rPr/>
        <w:t>2010</w:t>
      </w:r>
      <w:r>
        <w:rPr>
          <w:rtl w:val="true"/>
        </w:rPr>
        <w:t xml:space="preserve"> </w:t>
      </w:r>
      <w:r>
        <w:rPr>
          <w:rtl w:val="true"/>
        </w:rPr>
        <w:t>קשר הנאשם קשר עם אדם נוסף בשם ע</w:t>
      </w:r>
      <w:r>
        <w:rPr>
          <w:rtl w:val="true"/>
        </w:rPr>
        <w:t xml:space="preserve">. </w:t>
      </w:r>
      <w:r>
        <w:rPr>
          <w:rtl w:val="true"/>
        </w:rPr>
        <w:t xml:space="preserve">אלרוחמאן סלים </w:t>
      </w:r>
      <w:r>
        <w:rPr>
          <w:rtl w:val="true"/>
        </w:rPr>
        <w:t>(</w:t>
      </w:r>
      <w:r>
        <w:rPr>
          <w:rtl w:val="true"/>
        </w:rPr>
        <w:t>להלן</w:t>
      </w:r>
      <w:r>
        <w:rPr>
          <w:rtl w:val="true"/>
        </w:rPr>
        <w:t xml:space="preserve">: </w:t>
      </w:r>
      <w:r>
        <w:rPr>
          <w:b/>
          <w:b/>
          <w:bCs/>
          <w:rtl w:val="true"/>
        </w:rPr>
        <w:t>ע</w:t>
      </w:r>
      <w:r>
        <w:rPr>
          <w:b/>
          <w:bCs/>
          <w:rtl w:val="true"/>
        </w:rPr>
        <w:t xml:space="preserve">. </w:t>
      </w:r>
      <w:r>
        <w:rPr>
          <w:b/>
          <w:b/>
          <w:bCs/>
          <w:rtl w:val="true"/>
        </w:rPr>
        <w:t>אלרוחמאן</w:t>
      </w:r>
      <w:r>
        <w:rPr>
          <w:rtl w:val="true"/>
        </w:rPr>
        <w:t xml:space="preserve">), </w:t>
      </w:r>
      <w:r>
        <w:rPr>
          <w:rtl w:val="true"/>
        </w:rPr>
        <w:t>לירות באקדח שהאחרון החזיק שלא כדין ולשם כך הנאשם רכש כדורים לצורך ירי באותו אקדח</w:t>
      </w:r>
      <w:r>
        <w:rPr>
          <w:rtl w:val="true"/>
        </w:rPr>
        <w:t xml:space="preserve">. </w:t>
      </w:r>
      <w:r>
        <w:rPr>
          <w:rtl w:val="true"/>
        </w:rPr>
        <w:t>ע</w:t>
      </w:r>
      <w:r>
        <w:rPr>
          <w:rtl w:val="true"/>
        </w:rPr>
        <w:t xml:space="preserve">. </w:t>
      </w:r>
      <w:r>
        <w:rPr>
          <w:rtl w:val="true"/>
        </w:rPr>
        <w:t>אלרוחמאן והנאשם עלו לשטח חקלאי ובצעו תרגילי ירי</w:t>
      </w:r>
      <w:r>
        <w:rPr>
          <w:rtl w:val="true"/>
        </w:rPr>
        <w:t xml:space="preserve">, </w:t>
      </w:r>
      <w:r>
        <w:rPr>
          <w:rtl w:val="true"/>
        </w:rPr>
        <w:t>עם תום הירי ולבקשתו של ע</w:t>
      </w:r>
      <w:r>
        <w:rPr>
          <w:rtl w:val="true"/>
        </w:rPr>
        <w:t xml:space="preserve">. </w:t>
      </w:r>
      <w:r>
        <w:rPr>
          <w:rtl w:val="true"/>
        </w:rPr>
        <w:t>אלרוחמאן</w:t>
      </w:r>
      <w:r>
        <w:rPr>
          <w:rtl w:val="true"/>
        </w:rPr>
        <w:t xml:space="preserve">, </w:t>
      </w:r>
      <w:r>
        <w:rPr>
          <w:rtl w:val="true"/>
        </w:rPr>
        <w:t>לקח הנאשם את האקדח והסתירו למשך מספר ימים</w:t>
      </w:r>
      <w:r>
        <w:rPr>
          <w:rtl w:val="true"/>
        </w:rPr>
        <w:t xml:space="preserve">, </w:t>
      </w:r>
      <w:r>
        <w:rPr>
          <w:rtl w:val="true"/>
        </w:rPr>
        <w:t>סמוך למקום מגוריו</w:t>
      </w:r>
      <w:r>
        <w:rPr>
          <w:rtl w:val="true"/>
        </w:rPr>
        <w:t>.</w:t>
      </w:r>
    </w:p>
    <w:p>
      <w:pPr>
        <w:pStyle w:val="Normal"/>
        <w:spacing w:lineRule="auto" w:line="360"/>
        <w:ind w:end="0"/>
        <w:jc w:val="start"/>
        <w:rPr/>
      </w:pPr>
      <w:r>
        <w:rPr>
          <w:rtl w:val="true"/>
        </w:rPr>
      </w:r>
    </w:p>
    <w:p>
      <w:pPr>
        <w:pStyle w:val="Normal"/>
        <w:spacing w:lineRule="auto" w:line="360"/>
        <w:ind w:end="0"/>
        <w:jc w:val="start"/>
        <w:rPr/>
      </w:pPr>
      <w:r>
        <w:rPr>
          <w:b/>
          <w:b/>
          <w:bCs/>
          <w:rtl w:val="true"/>
        </w:rPr>
        <w:t>השני</w:t>
      </w:r>
      <w:r>
        <w:rPr>
          <w:rtl w:val="true"/>
        </w:rPr>
        <w:t xml:space="preserve">: </w:t>
      </w:r>
      <w:r>
        <w:rPr>
          <w:rtl w:val="true"/>
        </w:rPr>
        <w:t>הנאשם הסתיר מאחורי ביתו ועל פי בקשתו של ע</w:t>
      </w:r>
      <w:r>
        <w:rPr>
          <w:rtl w:val="true"/>
        </w:rPr>
        <w:t xml:space="preserve">. </w:t>
      </w:r>
      <w:r>
        <w:rPr>
          <w:rtl w:val="true"/>
        </w:rPr>
        <w:t>אלרוחמאן רובה אוטומטי מסוג קארל גוסטב וכן מחסנית ושני כדורים לרובה ובמקרה נוסף</w:t>
      </w:r>
      <w:r>
        <w:rPr>
          <w:rtl w:val="true"/>
        </w:rPr>
        <w:t xml:space="preserve">, </w:t>
      </w:r>
      <w:r>
        <w:rPr>
          <w:rtl w:val="true"/>
        </w:rPr>
        <w:t>הסתיר הנאשם עבור ע</w:t>
      </w:r>
      <w:r>
        <w:rPr>
          <w:rtl w:val="true"/>
        </w:rPr>
        <w:t xml:space="preserve">. </w:t>
      </w:r>
      <w:r>
        <w:rPr>
          <w:rtl w:val="true"/>
        </w:rPr>
        <w:t>אלרוחמאן במרפסת ביתו רימון הלם</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בטרם טיעון לעונש</w:t>
      </w:r>
      <w:r>
        <w:rPr>
          <w:rtl w:val="true"/>
        </w:rPr>
        <w:t xml:space="preserve">, </w:t>
      </w:r>
      <w:r>
        <w:rPr>
          <w:rtl w:val="true"/>
        </w:rPr>
        <w:t>הופנה הנאשם לשירות המבחן ובהמשך הוגש תסקיר מבחן בעניינו</w:t>
      </w:r>
      <w:r>
        <w:rPr>
          <w:rtl w:val="true"/>
        </w:rPr>
        <w:t xml:space="preserve">, </w:t>
      </w:r>
      <w:r>
        <w:rPr>
          <w:rtl w:val="true"/>
        </w:rPr>
        <w:t>שאין בו כל המלצה טיפולית</w:t>
      </w:r>
      <w:r>
        <w:rPr>
          <w:rtl w:val="true"/>
        </w:rPr>
        <w:t xml:space="preserve">. </w:t>
      </w:r>
      <w:r>
        <w:rPr>
          <w:rtl w:val="true"/>
        </w:rPr>
        <w:t>שירות המבחן המליץ על ענישה חיצונית ומוחשית</w:t>
      </w:r>
      <w:r>
        <w:rPr>
          <w:rtl w:val="true"/>
        </w:rPr>
        <w:t xml:space="preserve">, </w:t>
      </w:r>
      <w:r>
        <w:rPr>
          <w:rtl w:val="true"/>
        </w:rPr>
        <w:t>דוגמת מאסר בפועל</w:t>
      </w:r>
      <w:r>
        <w:rPr>
          <w:rtl w:val="true"/>
        </w:rPr>
        <w:t xml:space="preserve">, </w:t>
      </w:r>
      <w:r>
        <w:rPr>
          <w:rtl w:val="true"/>
        </w:rPr>
        <w:t>אך לטעמו יש לשקול את תקופת המאסר</w:t>
      </w:r>
      <w:r>
        <w:rPr>
          <w:rtl w:val="true"/>
        </w:rPr>
        <w:t xml:space="preserve">, </w:t>
      </w:r>
      <w:r>
        <w:rPr>
          <w:rtl w:val="true"/>
        </w:rPr>
        <w:t>על מנת לא לחשוף את הנאשם לאותה אוכלוסיה עבריינית שבתוך כותלי בית הסוהר</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העבירות בהן הורשע הנאשם חמורות למדי</w:t>
      </w:r>
      <w:r>
        <w:rPr>
          <w:rtl w:val="true"/>
        </w:rPr>
        <w:t xml:space="preserve">. </w:t>
      </w:r>
      <w:r>
        <w:rPr>
          <w:rtl w:val="true"/>
        </w:rPr>
        <w:t>עבירות הנשק הפכו למכת מדינה</w:t>
      </w:r>
      <w:r>
        <w:rPr>
          <w:rtl w:val="true"/>
        </w:rPr>
        <w:t xml:space="preserve">. </w:t>
      </w:r>
      <w:r>
        <w:rPr>
          <w:rtl w:val="true"/>
        </w:rPr>
        <w:t>נשק רב</w:t>
      </w:r>
      <w:r>
        <w:rPr>
          <w:rtl w:val="true"/>
        </w:rPr>
        <w:t xml:space="preserve">, </w:t>
      </w:r>
      <w:r>
        <w:rPr>
          <w:rtl w:val="true"/>
        </w:rPr>
        <w:t>בלתי חוקי מוחזק בידי גורמים שונים בתוך החברה הישראלית</w:t>
      </w:r>
      <w:r>
        <w:rPr>
          <w:rtl w:val="true"/>
        </w:rPr>
        <w:t xml:space="preserve">, </w:t>
      </w:r>
      <w:r>
        <w:rPr>
          <w:rtl w:val="true"/>
        </w:rPr>
        <w:t>על כל מגזריה ורבדיה</w:t>
      </w:r>
      <w:r>
        <w:rPr>
          <w:rtl w:val="true"/>
        </w:rPr>
        <w:t>.</w:t>
      </w:r>
    </w:p>
    <w:p>
      <w:pPr>
        <w:pStyle w:val="Normal"/>
        <w:spacing w:lineRule="auto" w:line="360"/>
        <w:ind w:end="0"/>
        <w:jc w:val="start"/>
        <w:rPr/>
      </w:pPr>
      <w:r>
        <w:rPr>
          <w:rtl w:val="true"/>
        </w:rPr>
        <w:t>זמינות הנשק והחזקתו בידי אנשים בלתי מורשים</w:t>
      </w:r>
      <w:r>
        <w:rPr>
          <w:rtl w:val="true"/>
        </w:rPr>
        <w:t xml:space="preserve">, </w:t>
      </w:r>
      <w:r>
        <w:rPr>
          <w:rtl w:val="true"/>
        </w:rPr>
        <w:t>יש בהם כדי להעצים את תופעת האלימות  ואף להסלים כל אירוע אלים</w:t>
      </w:r>
      <w:r>
        <w:rPr>
          <w:rtl w:val="true"/>
        </w:rPr>
        <w:t xml:space="preserve">, </w:t>
      </w:r>
      <w:r>
        <w:rPr>
          <w:rtl w:val="true"/>
        </w:rPr>
        <w:t>במיוחד בשל הקלות הבלתי נסבלת בה נעשה שימוש בכלי הנשק</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בתי המשפט עמדו פעמים רבות על חומרתן של עבירות נשק</w:t>
      </w:r>
      <w:r>
        <w:rPr>
          <w:rtl w:val="true"/>
        </w:rPr>
        <w:t xml:space="preserve">, </w:t>
      </w:r>
      <w:r>
        <w:rPr>
          <w:rtl w:val="true"/>
        </w:rPr>
        <w:t>על החומרה הרבה הטמונה בהם ועל הצורך והחובה להחמיר בענישה לשם הרתעת אותם עבריינים כדוגמת הנאשם ואחרים רבים העומדים וצופים  באשר נעשה ומתרחש</w:t>
      </w:r>
      <w:r>
        <w:rPr>
          <w:rtl w:val="true"/>
        </w:rPr>
        <w:t>.</w:t>
      </w:r>
    </w:p>
    <w:p>
      <w:pPr>
        <w:pStyle w:val="Normal"/>
        <w:spacing w:lineRule="auto" w:line="360"/>
        <w:ind w:end="0"/>
        <w:jc w:val="start"/>
        <w:rPr/>
      </w:pPr>
      <w:r>
        <w:rPr>
          <w:rtl w:val="true"/>
        </w:rPr>
      </w:r>
    </w:p>
    <w:p>
      <w:pPr>
        <w:pStyle w:val="Normal"/>
        <w:spacing w:lineRule="auto" w:line="360"/>
        <w:ind w:end="0"/>
        <w:jc w:val="start"/>
        <w:rPr>
          <w:b/>
          <w:bCs/>
        </w:rPr>
      </w:pPr>
      <w:r>
        <w:rPr>
          <w:rtl w:val="true"/>
        </w:rPr>
        <w:t>וכך קבע בית המשפט העליון ב</w:t>
      </w:r>
      <w:hyperlink r:id="rId6">
        <w:r>
          <w:rPr>
            <w:rStyle w:val="Hyperlink"/>
            <w:color w:val="0000FF"/>
            <w:u w:val="single"/>
            <w:rtl w:val="true"/>
          </w:rPr>
          <w:t>רע</w:t>
        </w:r>
        <w:r>
          <w:rPr>
            <w:rStyle w:val="Hyperlink"/>
            <w:color w:val="0000FF"/>
            <w:u w:val="single"/>
            <w:rtl w:val="true"/>
          </w:rPr>
          <w:t>"</w:t>
        </w:r>
        <w:r>
          <w:rPr>
            <w:rStyle w:val="Hyperlink"/>
            <w:color w:val="0000FF"/>
            <w:u w:val="single"/>
            <w:rtl w:val="true"/>
          </w:rPr>
          <w:t xml:space="preserve">פ </w:t>
        </w:r>
        <w:r>
          <w:rPr>
            <w:rStyle w:val="Hyperlink"/>
            <w:color w:val="0000FF"/>
            <w:u w:val="single"/>
          </w:rPr>
          <w:t>2718/04</w:t>
        </w:r>
      </w:hyperlink>
      <w:r>
        <w:rPr>
          <w:rtl w:val="true"/>
        </w:rPr>
        <w:t xml:space="preserve">, </w:t>
      </w:r>
      <w:r>
        <w:rPr>
          <w:b/>
          <w:b/>
          <w:bCs/>
          <w:rtl w:val="true"/>
        </w:rPr>
        <w:t>אבו דאחל נ</w:t>
      </w:r>
      <w:r>
        <w:rPr>
          <w:b/>
          <w:bCs/>
          <w:rtl w:val="true"/>
        </w:rPr>
        <w:t xml:space="preserve">' </w:t>
      </w:r>
      <w:r>
        <w:rPr>
          <w:b/>
          <w:b/>
          <w:bCs/>
          <w:rtl w:val="true"/>
        </w:rPr>
        <w:t>מדינת ישראל</w:t>
      </w:r>
      <w:r>
        <w:rPr>
          <w:b/>
          <w:bCs/>
          <w:rtl w:val="true"/>
        </w:rPr>
        <w:t xml:space="preserve">: </w:t>
      </w:r>
    </w:p>
    <w:p>
      <w:pPr>
        <w:pStyle w:val="Normal"/>
        <w:spacing w:lineRule="auto" w:line="360"/>
        <w:ind w:end="0"/>
        <w:jc w:val="start"/>
        <w:rPr>
          <w:b/>
          <w:bCs/>
        </w:rPr>
      </w:pPr>
      <w:r>
        <w:rPr>
          <w:b/>
          <w:bCs/>
          <w:rtl w:val="true"/>
        </w:rPr>
      </w:r>
    </w:p>
    <w:p>
      <w:pPr>
        <w:pStyle w:val="Normal"/>
        <w:spacing w:lineRule="auto" w:line="360"/>
        <w:ind w:start="720" w:end="1260"/>
        <w:jc w:val="both"/>
        <w:rPr/>
      </w:pPr>
      <w:r>
        <w:rPr>
          <w:b/>
          <w:bCs/>
          <w:rtl w:val="true"/>
        </w:rPr>
        <w:t>"</w:t>
      </w:r>
      <w:r>
        <w:rPr>
          <w:b/>
          <w:b/>
          <w:bCs/>
          <w:rtl w:val="true"/>
        </w:rPr>
        <w:t>הסכנה הטמונה בעבירה החמורה של החזקת נזק מצדיקה הטלת עונשי מאסר לריצוי בפועל גם על מי שזו עבירתו הראשונה</w:t>
      </w:r>
      <w:r>
        <w:rPr>
          <w:b/>
          <w:bCs/>
          <w:rtl w:val="true"/>
        </w:rPr>
        <w:t xml:space="preserve">. </w:t>
      </w:r>
      <w:r>
        <w:rPr>
          <w:b/>
          <w:b/>
          <w:bCs/>
          <w:rtl w:val="true"/>
        </w:rPr>
        <w:t>בבוא בית</w:t>
      </w:r>
      <w:r>
        <w:rPr>
          <w:b/>
          <w:bCs/>
          <w:rtl w:val="true"/>
        </w:rPr>
        <w:t>-</w:t>
      </w:r>
      <w:r>
        <w:rPr>
          <w:b/>
          <w:b/>
          <w:bCs/>
          <w:rtl w:val="true"/>
        </w:rPr>
        <w:t>המשפט לשקול את הענישה בעבירות מסוג זה</w:t>
      </w:r>
      <w:r>
        <w:rPr>
          <w:b/>
          <w:bCs/>
          <w:rtl w:val="true"/>
        </w:rPr>
        <w:t xml:space="preserve">, </w:t>
      </w:r>
      <w:r>
        <w:rPr>
          <w:b/>
          <w:b/>
          <w:bCs/>
          <w:rtl w:val="true"/>
        </w:rPr>
        <w:t>עליו לתת משקל נכבד יותר לאינטרס הציבורי ולצורך להרתיע עבריינים בכוח מלבצע עבירות דומות</w:t>
      </w:r>
      <w:r>
        <w:rPr>
          <w:b/>
          <w:bCs/>
          <w:rtl w:val="true"/>
        </w:rPr>
        <w:t xml:space="preserve">, </w:t>
      </w:r>
      <w:r>
        <w:rPr>
          <w:b/>
          <w:b/>
          <w:bCs/>
          <w:rtl w:val="true"/>
        </w:rPr>
        <w:t>על פי הנסיבות האישיות של העבריין</w:t>
      </w:r>
      <w:r>
        <w:rPr>
          <w:b/>
          <w:bCs/>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rtl w:val="true"/>
        </w:rPr>
        <w:t>המאשימה עתרה להטלת מאסר בפועל לתקופה ממושכת</w:t>
      </w:r>
      <w:r>
        <w:rPr>
          <w:rtl w:val="true"/>
        </w:rPr>
        <w:t xml:space="preserve">, </w:t>
      </w:r>
      <w:r>
        <w:rPr>
          <w:rtl w:val="true"/>
        </w:rPr>
        <w:t>בנוסף לרכיבי ענישה אחרים</w:t>
      </w:r>
      <w:r>
        <w:rPr>
          <w:rtl w:val="true"/>
        </w:rPr>
        <w:t xml:space="preserve">, </w:t>
      </w:r>
      <w:r>
        <w:rPr>
          <w:rtl w:val="true"/>
        </w:rPr>
        <w:t>ואילו הסנגור המלומד ביקש להסתפק בתקופת המעצר בה שהה הנאשם</w:t>
      </w:r>
      <w:r>
        <w:rPr>
          <w:rtl w:val="true"/>
        </w:rPr>
        <w:t xml:space="preserve">, </w:t>
      </w:r>
      <w:r>
        <w:rPr>
          <w:rtl w:val="true"/>
        </w:rPr>
        <w:t>תקופה של ארבעה וחצי חודשים</w:t>
      </w:r>
      <w:r>
        <w:rPr>
          <w:rtl w:val="true"/>
        </w:rPr>
        <w:t xml:space="preserve">, </w:t>
      </w:r>
      <w:r>
        <w:rPr>
          <w:rtl w:val="true"/>
        </w:rPr>
        <w:t>תוך הדגשה שהנאשם חסר עבר פלילי</w:t>
      </w:r>
      <w:r>
        <w:rPr>
          <w:rtl w:val="true"/>
        </w:rPr>
        <w:t xml:space="preserve">, </w:t>
      </w:r>
      <w:r>
        <w:rPr>
          <w:rtl w:val="true"/>
        </w:rPr>
        <w:t>צעיר בשנים ולטענתו</w:t>
      </w:r>
      <w:r>
        <w:rPr>
          <w:rtl w:val="true"/>
        </w:rPr>
        <w:t xml:space="preserve">, </w:t>
      </w:r>
      <w:r>
        <w:rPr>
          <w:rtl w:val="true"/>
        </w:rPr>
        <w:t>ביצע את המעשים המיוחסים לו מתוך סקרנות ולא מכל מניע אחר</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אין בכוונתי לצלול לעומק מחשבותיו של הנאשם ובא</w:t>
      </w:r>
      <w:r>
        <w:rPr>
          <w:rtl w:val="true"/>
        </w:rPr>
        <w:t>-</w:t>
      </w:r>
      <w:r>
        <w:rPr>
          <w:rtl w:val="true"/>
        </w:rPr>
        <w:t>כוחו כדי ללמוד על מניעיו</w:t>
      </w:r>
      <w:r>
        <w:rPr>
          <w:rtl w:val="true"/>
        </w:rPr>
        <w:t xml:space="preserve">. </w:t>
      </w:r>
      <w:r>
        <w:rPr>
          <w:rtl w:val="true"/>
        </w:rPr>
        <w:t>עינינו הרואות</w:t>
      </w:r>
      <w:r>
        <w:rPr>
          <w:rtl w:val="true"/>
        </w:rPr>
        <w:t xml:space="preserve">, </w:t>
      </w:r>
      <w:r>
        <w:rPr>
          <w:rtl w:val="true"/>
        </w:rPr>
        <w:t>שמעשים שתחילתם בסקרנות מובילים למחוזות מסוכנים</w:t>
      </w:r>
      <w:r>
        <w:rPr>
          <w:rtl w:val="true"/>
        </w:rPr>
        <w:t xml:space="preserve">. </w:t>
      </w:r>
      <w:r>
        <w:rPr>
          <w:rtl w:val="true"/>
        </w:rPr>
        <w:t>התנסותו של צעיר בכלי נזק בלתי חוקי מגבירה בו מוטיבציה לעשות בכלים אלה שימוש בבוא היום לצרכים עבריינים</w:t>
      </w:r>
      <w:r>
        <w:rPr>
          <w:rtl w:val="true"/>
        </w:rPr>
        <w:t xml:space="preserve">. </w:t>
      </w:r>
      <w:r>
        <w:rPr>
          <w:rtl w:val="true"/>
        </w:rPr>
        <w:t>יש לגדוע תופעה זו משורש ויפה שעת אחת קודם</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בבואי לגזור את דינו של הנאשם</w:t>
      </w:r>
      <w:r>
        <w:rPr>
          <w:rtl w:val="true"/>
        </w:rPr>
        <w:t xml:space="preserve">, </w:t>
      </w:r>
      <w:r>
        <w:rPr>
          <w:rtl w:val="true"/>
        </w:rPr>
        <w:t>אינני יכול להתעלם מעברו הנקי</w:t>
      </w:r>
      <w:r>
        <w:rPr>
          <w:rtl w:val="true"/>
        </w:rPr>
        <w:t xml:space="preserve">, </w:t>
      </w:r>
      <w:r>
        <w:rPr>
          <w:rtl w:val="true"/>
        </w:rPr>
        <w:t>גילו הצעיר</w:t>
      </w:r>
      <w:r>
        <w:rPr>
          <w:rtl w:val="true"/>
        </w:rPr>
        <w:t xml:space="preserve">, </w:t>
      </w:r>
      <w:r>
        <w:rPr>
          <w:rtl w:val="true"/>
        </w:rPr>
        <w:t>הודאתו</w:t>
      </w:r>
      <w:r>
        <w:rPr>
          <w:rtl w:val="true"/>
        </w:rPr>
        <w:t xml:space="preserve">, </w:t>
      </w:r>
      <w:r>
        <w:rPr>
          <w:rtl w:val="true"/>
        </w:rPr>
        <w:t>שהביאה לקיצור הליכי משפט</w:t>
      </w:r>
      <w:r>
        <w:rPr>
          <w:rtl w:val="true"/>
        </w:rPr>
        <w:t xml:space="preserve">, </w:t>
      </w:r>
      <w:r>
        <w:rPr>
          <w:rtl w:val="true"/>
        </w:rPr>
        <w:t>אך מאידך</w:t>
      </w:r>
      <w:r>
        <w:rPr>
          <w:rtl w:val="true"/>
        </w:rPr>
        <w:t xml:space="preserve">, </w:t>
      </w:r>
      <w:r>
        <w:rPr>
          <w:rtl w:val="true"/>
        </w:rPr>
        <w:t>אינני יכול להתעלם מחומרת המעשים</w:t>
      </w:r>
      <w:r>
        <w:rPr>
          <w:rtl w:val="true"/>
        </w:rPr>
        <w:t xml:space="preserve">, </w:t>
      </w:r>
      <w:r>
        <w:rPr>
          <w:rtl w:val="true"/>
        </w:rPr>
        <w:t>הסכנה הטמונה בהם ומהמלצת שירות המבחן</w:t>
      </w:r>
      <w:r>
        <w:rPr>
          <w:rtl w:val="true"/>
        </w:rPr>
        <w:t xml:space="preserve">, </w:t>
      </w:r>
      <w:r>
        <w:rPr>
          <w:rtl w:val="true"/>
        </w:rPr>
        <w:t>כפי שבאה לידי ביטוי בתסקיר</w:t>
      </w:r>
      <w:r>
        <w:rPr>
          <w:rtl w:val="true"/>
        </w:rPr>
        <w:t>.</w:t>
      </w:r>
      <w:r>
        <w:rPr>
          <w:rtl w:val="true"/>
        </w:rPr>
        <w:t>כאמור</w:t>
      </w:r>
      <w:r>
        <w:rPr>
          <w:rtl w:val="true"/>
        </w:rPr>
        <w:t xml:space="preserve">, </w:t>
      </w:r>
      <w:r>
        <w:rPr>
          <w:rtl w:val="true"/>
        </w:rPr>
        <w:t>שירות המבחן ציין בתסקירו</w:t>
      </w:r>
      <w:r>
        <w:rPr>
          <w:rtl w:val="true"/>
        </w:rPr>
        <w:t xml:space="preserve">, </w:t>
      </w:r>
      <w:r>
        <w:rPr>
          <w:rtl w:val="true"/>
        </w:rPr>
        <w:t>כי ענישה חיצונית ומוחשית כדוגמת עונש מאסר</w:t>
      </w:r>
      <w:r>
        <w:rPr>
          <w:rtl w:val="true"/>
        </w:rPr>
        <w:t xml:space="preserve">, </w:t>
      </w:r>
      <w:r>
        <w:rPr>
          <w:rtl w:val="true"/>
        </w:rPr>
        <w:t>עשויה להיות מעשית</w:t>
      </w:r>
      <w:r>
        <w:rPr>
          <w:rtl w:val="true"/>
        </w:rPr>
        <w:t>.</w:t>
      </w:r>
    </w:p>
    <w:p>
      <w:pPr>
        <w:pStyle w:val="Normal"/>
        <w:spacing w:lineRule="auto" w:line="360"/>
        <w:ind w:end="0"/>
        <w:jc w:val="start"/>
        <w:rPr/>
      </w:pPr>
      <w:r>
        <w:rPr>
          <w:rtl w:val="true"/>
        </w:rPr>
        <w:t>הסנגור המלומד אינו חולק על מסקנתו של שירות המבחן בדבר הטלת עונש מאסר בפועל</w:t>
      </w:r>
      <w:r>
        <w:rPr>
          <w:rtl w:val="true"/>
        </w:rPr>
        <w:t xml:space="preserve">, </w:t>
      </w:r>
      <w:r>
        <w:rPr>
          <w:rtl w:val="true"/>
        </w:rPr>
        <w:t>אך לטענתו יש להסתפק בתקופת המעצר</w:t>
      </w:r>
      <w:r>
        <w:rPr>
          <w:rtl w:val="true"/>
        </w:rPr>
        <w:t xml:space="preserve">. </w:t>
      </w:r>
      <w:r>
        <w:rPr>
          <w:rtl w:val="true"/>
        </w:rPr>
        <w:t>דעתי שונה מדעתו של הסנגור</w:t>
      </w:r>
      <w:r>
        <w:rPr>
          <w:rtl w:val="true"/>
        </w:rPr>
        <w:t xml:space="preserve">, </w:t>
      </w:r>
      <w:r>
        <w:rPr>
          <w:rtl w:val="true"/>
        </w:rPr>
        <w:t>אך גם שונה מדעת התביעה</w:t>
      </w:r>
      <w:r>
        <w:rPr>
          <w:rtl w:val="true"/>
        </w:rPr>
        <w:t xml:space="preserve">, </w:t>
      </w:r>
      <w:r>
        <w:rPr>
          <w:rtl w:val="true"/>
        </w:rPr>
        <w:t>שעתרה למאסר ממושך</w:t>
      </w:r>
      <w:r>
        <w:rPr>
          <w:rtl w:val="true"/>
        </w:rPr>
        <w:t xml:space="preserve">. </w:t>
      </w:r>
      <w:r>
        <w:rPr>
          <w:rtl w:val="true"/>
        </w:rPr>
        <w:t>נסיבותיו האישיות של הנאשם ונסיבות האירועים</w:t>
      </w:r>
      <w:r>
        <w:rPr>
          <w:rtl w:val="true"/>
        </w:rPr>
        <w:t xml:space="preserve">, </w:t>
      </w:r>
      <w:r>
        <w:rPr>
          <w:rtl w:val="true"/>
        </w:rPr>
        <w:t>נשוא כתב האישום יובילו אותי לדרך האמצע</w:t>
      </w:r>
      <w:r>
        <w:rPr>
          <w:rtl w:val="true"/>
        </w:rPr>
        <w:t xml:space="preserve">. </w:t>
      </w:r>
      <w:r>
        <w:rPr>
          <w:rtl w:val="true"/>
        </w:rPr>
        <w:t>דרך שיש בה התחשבות בנסיבותיו האישיות של הנאשם</w:t>
      </w:r>
      <w:r>
        <w:rPr>
          <w:rtl w:val="true"/>
        </w:rPr>
        <w:t xml:space="preserve">, </w:t>
      </w:r>
      <w:r>
        <w:rPr>
          <w:rtl w:val="true"/>
        </w:rPr>
        <w:t>גילו וחרטתו מחד וחומרת העבירות בהן הורשע מאידך</w:t>
      </w:r>
      <w:r>
        <w:rPr>
          <w:rtl w:val="true"/>
        </w:rPr>
        <w:t>.</w:t>
      </w:r>
    </w:p>
    <w:p>
      <w:pPr>
        <w:pStyle w:val="Normal"/>
        <w:spacing w:lineRule="auto" w:line="360"/>
        <w:ind w:end="0"/>
        <w:jc w:val="start"/>
        <w:rPr/>
      </w:pPr>
      <w:r>
        <w:rPr>
          <w:rtl w:val="true"/>
        </w:rPr>
      </w:r>
    </w:p>
    <w:p>
      <w:pPr>
        <w:pStyle w:val="Normal"/>
        <w:spacing w:lineRule="auto" w:line="360"/>
        <w:ind w:end="0"/>
        <w:jc w:val="start"/>
        <w:rPr>
          <w:b/>
          <w:bCs/>
        </w:rPr>
      </w:pPr>
      <w:r>
        <w:rPr>
          <w:b/>
          <w:b/>
          <w:bCs/>
          <w:rtl w:val="true"/>
        </w:rPr>
        <w:t>אי לכך</w:t>
      </w:r>
      <w:r>
        <w:rPr>
          <w:b/>
          <w:bCs/>
          <w:rtl w:val="true"/>
        </w:rPr>
        <w:t xml:space="preserve">, </w:t>
      </w:r>
      <w:r>
        <w:rPr>
          <w:b/>
          <w:b/>
          <w:bCs/>
          <w:rtl w:val="true"/>
        </w:rPr>
        <w:t>ולאור כל האמור לעיל</w:t>
      </w:r>
      <w:r>
        <w:rPr>
          <w:b/>
          <w:bCs/>
          <w:rtl w:val="true"/>
        </w:rPr>
        <w:t xml:space="preserve">, </w:t>
      </w:r>
      <w:r>
        <w:rPr>
          <w:b/>
          <w:b/>
          <w:bCs/>
          <w:rtl w:val="true"/>
        </w:rPr>
        <w:t>אני דן את הנאשם לעונשים הבאים</w:t>
      </w:r>
      <w:r>
        <w:rPr>
          <w:b/>
          <w:bCs/>
          <w:rtl w:val="true"/>
        </w:rPr>
        <w:t xml:space="preserve">: </w:t>
      </w:r>
    </w:p>
    <w:p>
      <w:pPr>
        <w:pStyle w:val="Normal"/>
        <w:spacing w:lineRule="auto" w:line="360"/>
        <w:ind w:start="360" w:end="0"/>
        <w:jc w:val="start"/>
        <w:rPr>
          <w:b/>
          <w:bCs/>
        </w:rPr>
      </w:pPr>
      <w:r>
        <w:rPr>
          <w:b/>
          <w:bCs/>
          <w:rtl w:val="true"/>
        </w:rPr>
      </w:r>
    </w:p>
    <w:p>
      <w:pPr>
        <w:pStyle w:val="Normal"/>
        <w:numPr>
          <w:ilvl w:val="0"/>
          <w:numId w:val="1"/>
        </w:numPr>
        <w:spacing w:lineRule="auto" w:line="360"/>
        <w:ind w:hanging="720" w:start="1080" w:end="0"/>
        <w:jc w:val="start"/>
        <w:rPr>
          <w:b/>
          <w:bCs/>
        </w:rPr>
      </w:pPr>
      <w:r>
        <w:rPr>
          <w:b/>
          <w:b/>
          <w:bCs/>
          <w:rtl w:val="true"/>
        </w:rPr>
        <w:t>אני דן את הנאשם למאסר לתקופה של שלושים ושישה חודשים</w:t>
      </w:r>
      <w:r>
        <w:rPr>
          <w:b/>
          <w:bCs/>
          <w:rtl w:val="true"/>
        </w:rPr>
        <w:t xml:space="preserve">, </w:t>
      </w:r>
      <w:r>
        <w:rPr>
          <w:b/>
          <w:b/>
          <w:bCs/>
          <w:rtl w:val="true"/>
        </w:rPr>
        <w:t>מתוכם עשרים וארבעה חודשים לריצוי בפועל ואילו היתרה על תנאי למשך שלוש שנים והתנאי שלא יעבור ויורשע בפרק זמן זה והחל מיום שחרורו על כל אחת מהעבירות בהן הורשע בכתב אישום מתוקן זה</w:t>
      </w:r>
      <w:r>
        <w:rPr>
          <w:b/>
          <w:bCs/>
          <w:rtl w:val="true"/>
        </w:rPr>
        <w:t xml:space="preserve">. </w:t>
        <w:br/>
      </w:r>
      <w:r>
        <w:rPr>
          <w:b/>
          <w:b/>
          <w:bCs/>
          <w:rtl w:val="true"/>
        </w:rPr>
        <w:t>ימי המעצר ינוכו מתקופת המאסר</w:t>
      </w:r>
      <w:r>
        <w:rPr>
          <w:b/>
          <w:bCs/>
          <w:rtl w:val="true"/>
        </w:rPr>
        <w:t>.</w:t>
      </w:r>
    </w:p>
    <w:p>
      <w:pPr>
        <w:pStyle w:val="Normal"/>
        <w:spacing w:lineRule="auto" w:line="360"/>
        <w:ind w:end="0"/>
        <w:jc w:val="both"/>
        <w:rPr>
          <w:b/>
          <w:bCs/>
        </w:rPr>
      </w:pPr>
      <w:r>
        <w:rPr>
          <w:b/>
          <w:bCs/>
          <w:rtl w:val="true"/>
        </w:rPr>
      </w:r>
    </w:p>
    <w:p>
      <w:pPr>
        <w:pStyle w:val="Normal"/>
        <w:spacing w:lineRule="auto" w:line="360"/>
        <w:ind w:start="360" w:end="0"/>
        <w:jc w:val="both"/>
        <w:rPr>
          <w:b/>
          <w:bCs/>
          <w:u w:val="single"/>
        </w:rPr>
      </w:pPr>
      <w:r>
        <w:rPr>
          <w:b/>
          <w:b/>
          <w:bCs/>
          <w:u w:val="single"/>
          <w:rtl w:val="true"/>
        </w:rPr>
        <w:t xml:space="preserve">זכות ערעור לבית המשפט העליון בתוך </w:t>
      </w:r>
      <w:r>
        <w:rPr>
          <w:b/>
          <w:bCs/>
          <w:u w:val="single"/>
        </w:rPr>
        <w:t>45</w:t>
      </w:r>
      <w:r>
        <w:rPr>
          <w:b/>
          <w:bCs/>
          <w:u w:val="single"/>
          <w:rtl w:val="true"/>
        </w:rPr>
        <w:t xml:space="preserve"> </w:t>
      </w:r>
      <w:r>
        <w:rPr>
          <w:b/>
          <w:b/>
          <w:bCs/>
          <w:u w:val="single"/>
          <w:rtl w:val="true"/>
        </w:rPr>
        <w:t>יום מהיום</w:t>
      </w:r>
      <w:r>
        <w:rPr>
          <w:b/>
          <w:bCs/>
          <w:u w:val="single"/>
          <w:rtl w:val="true"/>
        </w:rPr>
        <w:t xml:space="preserve">. </w:t>
      </w:r>
    </w:p>
    <w:p>
      <w:pPr>
        <w:pStyle w:val="Normal"/>
        <w:spacing w:lineRule="auto" w:line="360"/>
        <w:ind w:start="360" w:end="0"/>
        <w:jc w:val="both"/>
        <w:rPr>
          <w:b/>
          <w:bCs/>
          <w:sz w:val="6"/>
          <w:szCs w:val="6"/>
        </w:rPr>
      </w:pPr>
      <w:r>
        <w:rPr>
          <w:b/>
          <w:bCs/>
          <w:sz w:val="6"/>
          <w:szCs w:val="6"/>
          <w:rtl w:val="true"/>
        </w:rPr>
        <w:t>&lt;</w:t>
      </w:r>
      <w:r>
        <w:rPr>
          <w:b/>
          <w:bCs/>
          <w:sz w:val="6"/>
          <w:szCs w:val="6"/>
        </w:rPr>
        <w:t>#5#</w:t>
      </w:r>
      <w:r>
        <w:rPr>
          <w:b/>
          <w:bCs/>
          <w:sz w:val="6"/>
          <w:szCs w:val="6"/>
          <w:rtl w:val="true"/>
        </w:rPr>
        <w:t>&gt;</w:t>
      </w:r>
    </w:p>
    <w:p>
      <w:pPr>
        <w:pStyle w:val="Normal"/>
        <w:ind w:end="0"/>
        <w:jc w:val="end"/>
        <w:rPr>
          <w:b/>
          <w:bCs/>
          <w:sz w:val="6"/>
          <w:szCs w:val="6"/>
        </w:rPr>
      </w:pPr>
      <w:r>
        <w:rPr>
          <w:b/>
          <w:bCs/>
          <w:sz w:val="6"/>
          <w:szCs w:val="6"/>
          <w:rtl w:val="true"/>
        </w:rPr>
      </w:r>
    </w:p>
    <w:p>
      <w:pPr>
        <w:pStyle w:val="Normal"/>
        <w:ind w:end="0"/>
        <w:jc w:val="both"/>
        <w:rPr/>
      </w:pPr>
      <w:r>
        <w:rPr>
          <w:b/>
          <w:b/>
          <w:bCs/>
          <w:rtl w:val="true"/>
        </w:rPr>
        <w:t>ניתנה והודעה היום ח</w:t>
      </w:r>
      <w:r>
        <w:rPr>
          <w:b/>
          <w:bCs/>
          <w:rtl w:val="true"/>
        </w:rPr>
        <w:t xml:space="preserve">' </w:t>
      </w:r>
      <w:r>
        <w:rPr>
          <w:b/>
          <w:b/>
          <w:bCs/>
          <w:rtl w:val="true"/>
        </w:rPr>
        <w:t>כסלו תשע</w:t>
      </w:r>
      <w:r>
        <w:rPr>
          <w:b/>
          <w:bCs/>
          <w:rtl w:val="true"/>
        </w:rPr>
        <w:t>"</w:t>
      </w:r>
      <w:r>
        <w:rPr>
          <w:b/>
          <w:b/>
          <w:bCs/>
          <w:rtl w:val="true"/>
        </w:rPr>
        <w:t>א</w:t>
      </w:r>
      <w:r>
        <w:rPr>
          <w:b/>
          <w:bCs/>
          <w:rtl w:val="true"/>
        </w:rPr>
        <w:t xml:space="preserve">, </w:t>
      </w:r>
      <w:r>
        <w:rPr>
          <w:b/>
          <w:bCs/>
        </w:rPr>
        <w:t>15/11/2010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כבוד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תאופיק</w:t>
            </w:r>
            <w:r>
              <w:rPr>
                <w:b/>
                <w:b/>
                <w:bCs/>
                <w:rtl w:val="true"/>
              </w:rPr>
              <w:t xml:space="preserve"> </w:t>
            </w:r>
            <w:r>
              <w:rPr>
                <w:b/>
                <w:b/>
                <w:bCs/>
                <w:rtl w:val="true"/>
              </w:rPr>
              <w:t>כתילי</w:t>
            </w:r>
            <w:r>
              <w:rPr>
                <w:b/>
                <w:bCs/>
                <w:rtl w:val="true"/>
              </w:rPr>
              <w:t xml:space="preserve">, </w:t>
            </w:r>
            <w:r>
              <w:rPr>
                <w:b/>
                <w:b/>
                <w:bCs/>
                <w:rtl w:val="true"/>
              </w:rPr>
              <w:t>סגן נשיא</w:t>
            </w:r>
          </w:p>
        </w:tc>
      </w:tr>
    </w:tbl>
    <w:p>
      <w:pPr>
        <w:pStyle w:val="Normal"/>
        <w:ind w:end="0"/>
        <w:jc w:val="end"/>
        <w:rPr/>
      </w:pPr>
      <w:r>
        <w:rPr>
          <w:rtl w:val="true"/>
        </w:rPr>
      </w:r>
    </w:p>
    <w:p>
      <w:pPr>
        <w:pStyle w:val="Normal"/>
        <w:spacing w:lineRule="auto" w:line="360"/>
        <w:ind w:start="360" w:end="0"/>
        <w:jc w:val="center"/>
        <w:rPr>
          <w:b/>
          <w:bCs/>
        </w:rPr>
      </w:pPr>
      <w:r>
        <w:rPr>
          <w:b/>
          <w:bCs/>
          <w:rtl w:val="true"/>
        </w:rPr>
      </w:r>
    </w:p>
    <w:p>
      <w:pPr>
        <w:pStyle w:val="Normal"/>
        <w:spacing w:lineRule="auto" w:line="360"/>
        <w:ind w:end="0"/>
        <w:jc w:val="both"/>
        <w:rPr>
          <w:b/>
          <w:bCs/>
        </w:rPr>
      </w:pPr>
      <w:r>
        <w:rPr>
          <w:b/>
          <w:bCs/>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קארן</w:t>
      </w:r>
      <w:r>
        <w:rPr>
          <w:rFonts w:ascii="Arial" w:hAnsi="Arial" w:eastAsia="Arial" w:cs="Arial"/>
          <w:sz w:val="28"/>
          <w:sz w:val="28"/>
          <w:szCs w:val="28"/>
          <w:rtl w:val="true"/>
        </w:rPr>
        <w:t xml:space="preserve"> </w:t>
      </w:r>
      <w:r>
        <w:rPr>
          <w:rFonts w:ascii="Arial" w:hAnsi="Arial" w:cs="FrankRuehl"/>
          <w:sz w:val="28"/>
          <w:sz w:val="28"/>
          <w:szCs w:val="28"/>
          <w:rtl w:val="true"/>
        </w:rPr>
        <w:t>מגידס</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7">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8"/>
      <w:footerReference w:type="default" r:id="rId9"/>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/Users/liorb/Downloads/study2025-p2/ME-10-07-3805-695.doc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3805-07-10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עבדאלכרים עבד</w:t>
    </w:r>
    <w:r>
      <w:rPr>
        <w:color w:val="000000"/>
        <w:sz w:val="22"/>
        <w:szCs w:val="22"/>
        <w:rtl w:val="true"/>
      </w:rPr>
      <w:t>-</w:t>
    </w:r>
    <w:r>
      <w:rPr>
        <w:color w:val="000000"/>
        <w:sz w:val="22"/>
        <w:sz w:val="22"/>
        <w:szCs w:val="22"/>
        <w:rtl w:val="true"/>
      </w:rPr>
      <w:t xml:space="preserve">אלקאדר חאמד </w:t>
    </w:r>
    <w:r>
      <w:rPr>
        <w:color w:val="000000"/>
        <w:sz w:val="22"/>
        <w:szCs w:val="22"/>
        <w:rtl w:val="true"/>
      </w:rPr>
      <w:t>(</w:t>
    </w:r>
    <w:r>
      <w:rPr>
        <w:color w:val="000000"/>
        <w:sz w:val="22"/>
        <w:sz w:val="22"/>
        <w:szCs w:val="22"/>
        <w:rtl w:val="true"/>
      </w:rPr>
      <w:t>עציר</w:t>
    </w:r>
    <w:r>
      <w:rPr>
        <w:color w:val="000000"/>
        <w:sz w:val="22"/>
        <w:szCs w:val="22"/>
        <w:rtl w:val="tru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1080"/>
        </w:tabs>
        <w:ind w:start="1080" w:hanging="720"/>
      </w:pPr>
      <w:rPr>
        <w:b/>
        <w:bC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WW8Num1z0">
    <w:name w:val="WW8Num1z0"/>
    <w:qFormat/>
    <w:rPr>
      <w:b/>
      <w:bCs/>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073_002.htm" TargetMode="External"/><Relationship Id="rId4" Type="http://schemas.openxmlformats.org/officeDocument/2006/relationships/hyperlink" Target="http://www.nevo.co.il/law_html/law01/073_002.htm" TargetMode="External"/><Relationship Id="rId5" Type="http://schemas.openxmlformats.org/officeDocument/2006/relationships/hyperlink" Target="http://www.nevo.co.il/law_html/law01/073_002.htm" TargetMode="External"/><Relationship Id="rId6" Type="http://schemas.openxmlformats.org/officeDocument/2006/relationships/hyperlink" Target="http://www.nevo.co.il/links/psika/?link=&#1512;&#1506;&#1508;%202718/04" TargetMode="External"/><Relationship Id="rId7" Type="http://schemas.openxmlformats.org/officeDocument/2006/relationships/hyperlink" Target="http://www.nevo.co.il/advertisements/nevo-100.doc"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2010-11-16T00:43:00Z</dcterms:created>
  <dc:creator> </dc:creator>
  <dc:description/>
  <cp:keywords/>
  <dc:language>en-IL</dc:language>
  <cp:lastModifiedBy>comp</cp:lastModifiedBy>
  <dcterms:modified xsi:type="dcterms:W3CDTF">2010-11-16T12:18:00Z</dcterms:modified>
  <cp:revision>3</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צפון</vt:lpwstr>
  </property>
  <property fmtid="{D5CDD505-2E9C-101B-9397-08002B2CF9AE}" pid="3" name="APPELLEE">
    <vt:lpwstr>עבדאלכרים עבד-אלקאדר חאמד (עציר)</vt:lpwstr>
  </property>
  <property fmtid="{D5CDD505-2E9C-101B-9397-08002B2CF9AE}" pid="4" name="CITY">
    <vt:lpwstr>נצ'</vt:lpwstr>
  </property>
  <property fmtid="{D5CDD505-2E9C-101B-9397-08002B2CF9AE}" pid="5" name="DATE">
    <vt:lpwstr>20101115</vt:lpwstr>
  </property>
  <property fmtid="{D5CDD505-2E9C-101B-9397-08002B2CF9AE}" pid="6" name="ISABSTRACT">
    <vt:lpwstr>Y</vt:lpwstr>
  </property>
  <property fmtid="{D5CDD505-2E9C-101B-9397-08002B2CF9AE}" pid="7" name="JUDGE">
    <vt:lpwstr>כבוד;– תאופיק כתילי</vt:lpwstr>
  </property>
  <property fmtid="{D5CDD505-2E9C-101B-9397-08002B2CF9AE}" pid="8" name="LAWYER">
    <vt:lpwstr>שירי שחף אופק;יוסף חאזם – סנגוריה ציבורית</vt:lpwstr>
  </property>
  <property fmtid="{D5CDD505-2E9C-101B-9397-08002B2CF9AE}" pid="9" name="NEWPARTA">
    <vt:lpwstr>3805</vt:lpwstr>
  </property>
  <property fmtid="{D5CDD505-2E9C-101B-9397-08002B2CF9AE}" pid="10" name="NEWPARTB">
    <vt:lpwstr>07</vt:lpwstr>
  </property>
  <property fmtid="{D5CDD505-2E9C-101B-9397-08002B2CF9AE}" pid="11" name="NEWPARTC">
    <vt:lpwstr>10</vt:lpwstr>
  </property>
  <property fmtid="{D5CDD505-2E9C-101B-9397-08002B2CF9AE}" pid="12" name="NEWPROC">
    <vt:lpwstr>תפ</vt:lpwstr>
  </property>
  <property fmtid="{D5CDD505-2E9C-101B-9397-08002B2CF9AE}" pid="13" name="PSAKDIN">
    <vt:lpwstr>גזר-דין</vt:lpwstr>
  </property>
  <property fmtid="{D5CDD505-2E9C-101B-9397-08002B2CF9AE}" pid="14" name="RemarkFileName">
    <vt:lpwstr>mechozi me 10 07 3805 695 htm</vt:lpwstr>
  </property>
  <property fmtid="{D5CDD505-2E9C-101B-9397-08002B2CF9AE}" pid="15" name="TYPE">
    <vt:lpwstr>2</vt:lpwstr>
  </property>
  <property fmtid="{D5CDD505-2E9C-101B-9397-08002B2CF9AE}" pid="16" name="TYPE_ABS_DATE">
    <vt:lpwstr>390020101115</vt:lpwstr>
  </property>
  <property fmtid="{D5CDD505-2E9C-101B-9397-08002B2CF9AE}" pid="17" name="TYPE_N_DATE">
    <vt:lpwstr>39020101115</vt:lpwstr>
  </property>
  <property fmtid="{D5CDD505-2E9C-101B-9397-08002B2CF9AE}" pid="18" name="WORDNUMPAGES">
    <vt:lpwstr>3</vt:lpwstr>
  </property>
</Properties>
</file>