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38624-05-24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שאהין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סגן הנשיא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אבי לוי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עלי שאהין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שאהין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סאבר חיג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אזי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eastAsia="Arial"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בעניין הנאשמים </w:t>
      </w:r>
      <w:r>
        <w:rPr>
          <w:rFonts w:cs="Arial" w:ascii="Arial" w:hAnsi="Arial"/>
          <w:b/>
          <w:bCs/>
          <w:sz w:val="26"/>
          <w:szCs w:val="26"/>
          <w:u w:val="single"/>
        </w:rPr>
        <w:t>1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  <w:u w:val="single"/>
        </w:rPr>
        <w:t>3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bookmarkStart w:id="7" w:name="ABSTRACT_START"/>
      <w:bookmarkEnd w:id="7"/>
      <w:r>
        <w:rPr>
          <w:rFonts w:ascii="Calibri" w:hAnsi="Calibri" w:eastAsia="Calibri" w:cs="Calibri"/>
          <w:rtl w:val="true"/>
        </w:rPr>
        <w:t>הנאשמים שלפניי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עלי שאהין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rtl w:val="true"/>
        </w:rPr>
        <w:t xml:space="preserve">"), </w:t>
      </w:r>
      <w:r>
        <w:rPr>
          <w:rFonts w:ascii="Calibri" w:hAnsi="Calibri" w:eastAsia="Calibri" w:cs="Calibri"/>
          <w:b/>
          <w:b/>
          <w:bCs/>
          <w:rtl w:val="true"/>
        </w:rPr>
        <w:t>וסאבר חיג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 xml:space="preserve">אזי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3</w:t>
      </w:r>
      <w:r>
        <w:rPr>
          <w:rFonts w:eastAsia="Calibri" w:cs="Calibri" w:ascii="Calibri" w:hAnsi="Calibri"/>
          <w:rtl w:val="true"/>
        </w:rPr>
        <w:t xml:space="preserve">") </w:t>
      </w:r>
      <w:r>
        <w:rPr>
          <w:rFonts w:ascii="Calibri" w:hAnsi="Calibri" w:eastAsia="Calibri" w:cs="Calibri"/>
          <w:rtl w:val="true"/>
        </w:rPr>
        <w:t xml:space="preserve">הורשעו ביום </w:t>
      </w:r>
      <w:r>
        <w:rPr>
          <w:rFonts w:eastAsia="Calibri" w:cs="Calibri" w:ascii="Calibri" w:hAnsi="Calibri"/>
        </w:rPr>
        <w:t>17.6.24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סמך הודאתם בעובדות כתב אישום מתוקן אשר הוגש נגדם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כאן המקום לציין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נאשם משותף נוסף בכתב האישום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מוחמד שאהין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2</w:t>
      </w:r>
      <w:r>
        <w:rPr>
          <w:rFonts w:eastAsia="Calibri" w:cs="Calibri" w:ascii="Calibri" w:hAnsi="Calibri"/>
          <w:rtl w:val="true"/>
        </w:rPr>
        <w:t xml:space="preserve">") </w:t>
      </w:r>
      <w:r>
        <w:rPr>
          <w:rFonts w:ascii="Calibri" w:hAnsi="Calibri" w:eastAsia="Calibri" w:cs="Calibri"/>
          <w:rtl w:val="true"/>
        </w:rPr>
        <w:t>הורשע אף הוא בדיון האמור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מאחר שבעניינו התבקש תסקיר לעניין העונש מאת שירות המבחן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ביקש צוות ההגנה שעניינם של הנאשמים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יידון ללא המתנה להפקת התסקיר בעניינו של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bookmarkStart w:id="8" w:name="ABSTRACT_END"/>
      <w:bookmarkEnd w:id="8"/>
      <w:r>
        <w:rPr>
          <w:rFonts w:ascii="Calibri" w:hAnsi="Calibri" w:eastAsia="Calibri" w:cs="Calibri"/>
          <w:rtl w:val="true"/>
        </w:rPr>
        <w:t xml:space="preserve">משאלה היו פני הדברים קבעתי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ראו החלטתי מיום </w:t>
      </w:r>
      <w:r>
        <w:rPr>
          <w:rFonts w:eastAsia="Calibri" w:cs="Calibri" w:ascii="Calibri" w:hAnsi="Calibri"/>
        </w:rPr>
        <w:t>4.7.24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 xml:space="preserve">כי דיון הטיעונים לעניין עונשו של הנאשם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יתקיים בנפרד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לאחר קבלת התסקיר בענייננו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לשם השלמת התמונה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אציין כי </w:t>
      </w:r>
      <w:r>
        <w:rPr>
          <w:rFonts w:eastAsia="Calibri" w:cs="Calibri" w:ascii="Calibri" w:hAnsi="Calibri"/>
          <w:rtl w:val="true"/>
        </w:rPr>
        <w:t>-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הנאשמים  </w:t>
      </w:r>
      <w:r>
        <w:rPr>
          <w:rFonts w:eastAsia="Calibri" w:cs="Calibri" w:ascii="Calibri" w:hAnsi="Calibri"/>
          <w:b/>
          <w:bCs/>
          <w:u w:val="single"/>
        </w:rPr>
        <w:t>2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ו 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- </w:t>
      </w:r>
      <w:r>
        <w:rPr>
          <w:rFonts w:eastAsia="Calibri" w:cs="Calibri" w:ascii="Calibri" w:hAnsi="Calibri"/>
          <w:b/>
          <w:bCs/>
          <w:u w:val="single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הורשעו בביצועה של עבירת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החזקת נשק בצוותא </w:t>
      </w:r>
      <w:r>
        <w:rPr>
          <w:rFonts w:ascii="Calibri" w:hAnsi="Calibri" w:eastAsia="Calibri" w:cs="Calibri"/>
          <w:rtl w:val="true"/>
        </w:rPr>
        <w:t xml:space="preserve">לפי </w:t>
      </w:r>
      <w:hyperlink r:id="rId11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 xml:space="preserve">- </w:t>
      </w:r>
      <w:hyperlink r:id="rId12">
        <w:r>
          <w:rPr>
            <w:rStyle w:val="Hyperlink"/>
            <w:rFonts w:eastAsia="Calibri" w:cs="Calibri" w:ascii="Calibri" w:hAnsi="Calibri"/>
            <w:color w:val="0000FF"/>
          </w:rPr>
          <w:t>29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1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>חוק העונשין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 xml:space="preserve">או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החוק</w:t>
      </w:r>
      <w:r>
        <w:rPr>
          <w:rFonts w:eastAsia="Calibri" w:cs="Calibri" w:ascii="Calibri" w:hAnsi="Calibri"/>
          <w:rtl w:val="true"/>
        </w:rPr>
        <w:t>");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בעוד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הנאשם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הורשע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בסיוע</w:t>
      </w:r>
      <w:r>
        <w:rPr>
          <w:rFonts w:ascii="Calibri" w:hAnsi="Calibri" w:eastAsia="Calibri" w:cs="Calibri"/>
          <w:b/>
          <w:b/>
          <w:bCs/>
          <w:rtl w:val="true"/>
        </w:rPr>
        <w:t xml:space="preserve"> להחזקת נשק </w:t>
      </w:r>
      <w:r>
        <w:rPr>
          <w:rFonts w:ascii="Calibri" w:hAnsi="Calibri" w:eastAsia="Calibri" w:cs="Calibri"/>
          <w:rtl w:val="true"/>
        </w:rPr>
        <w:t xml:space="preserve">לפי </w:t>
      </w:r>
      <w:hyperlink r:id="rId14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 xml:space="preserve">- </w:t>
      </w:r>
      <w:hyperlink r:id="rId15">
        <w:r>
          <w:rPr>
            <w:rStyle w:val="Hyperlink"/>
            <w:rFonts w:eastAsia="Calibri" w:cs="Calibri" w:ascii="Calibri" w:hAnsi="Calibri"/>
            <w:color w:val="0000FF"/>
          </w:rPr>
          <w:t>31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1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u w:val="single"/>
          <w:rtl w:val="true"/>
        </w:rPr>
        <w:t xml:space="preserve">עובדות ההרשעה </w:t>
      </w:r>
      <w:r>
        <w:rPr>
          <w:rFonts w:ascii="Calibri" w:hAnsi="Calibri" w:eastAsia="Calibri" w:cs="Calibri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עובדות הרשעתם של הנאשמים בכתב האישום המתוקן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הינן כדלהלן </w:t>
      </w:r>
      <w:r>
        <w:rPr>
          <w:rFonts w:eastAsia="Calibri" w:cs="Calibri" w:ascii="Calibri" w:hAnsi="Calibri"/>
          <w:rtl w:val="true"/>
        </w:rPr>
        <w:t xml:space="preserve">- 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הם אחים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ובבעלות בני משפחתם רפת בעיר טמרה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הוא חבר של 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בתאריך </w:t>
      </w:r>
      <w:r>
        <w:rPr>
          <w:rFonts w:eastAsia="Calibri" w:cs="Calibri" w:ascii="Calibri" w:hAnsi="Calibri"/>
        </w:rPr>
        <w:t>16.4.24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בסמוך לשעה </w:t>
      </w:r>
      <w:r>
        <w:rPr>
          <w:rFonts w:eastAsia="Calibri" w:cs="Calibri" w:ascii="Calibri" w:hAnsi="Calibri"/>
        </w:rPr>
        <w:t>22:00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החזיקו הנאשמים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בחממה בסמוך לרפת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נשק דמוי רובה סער </w:t>
      </w:r>
      <w:r>
        <w:rPr>
          <w:rFonts w:eastAsia="Calibri" w:cs="Calibri" w:ascii="Calibri" w:hAnsi="Calibri"/>
        </w:rPr>
        <w:t>m-4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המיועד לירי כדוריות פלסטיק בקוטר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מ ואשר הוסב לירי תחמושת בקליבר </w:t>
      </w:r>
      <w:r>
        <w:rPr>
          <w:rFonts w:eastAsia="Calibri" w:cs="Calibri" w:ascii="Calibri" w:hAnsi="Calibri"/>
        </w:rPr>
        <w:t>5.56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ובתוכו מחסנית ריקה תואמת המהווה אביזר לנשק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וזאת בסיועו של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אשר אבטח אותם בעת החזקת הרובה הנ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הרובה הוא כלי שסוגל לירות כדור ובכוחו להמית אדם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ראיות לעניין העונש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קרן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ציין כי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הנאשמים 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ו 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eastAsia="Calibri" w:cs="Calibri" w:ascii="Calibri" w:hAnsi="Calibri"/>
          <w:b/>
          <w:bCs/>
        </w:rPr>
        <w:t>3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נעדרים עבר פלילי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 הוצגו ראיות נוספות לעניין העונש בעניינם של הנאשמים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>טיעוני המאשימה לעניין העונש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המלומד של המאשימה הגיש טיעונים לעניין העונש בכתב והוסיף על אלו בע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פ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בקצירת האומר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המאשימה עמדה על החומרה הגלומה בעבירות הנשק ועל מגמת ההחמרה בענישה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נוכח העובדה שעבירות אלו הפכו למכת מדינה של ממש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הפרקליט המלומד עמד על הערכים המוגנים שנפגעו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פועל יוצא של עבירות החזקת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אין עסקינן בהחזקה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רגעית</w:t>
      </w:r>
      <w:r>
        <w:rPr>
          <w:rFonts w:eastAsia="Calibri" w:cs="Calibri" w:ascii="Calibri" w:hAnsi="Calibri"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>אלא בהטמנה של כלי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מכאן עמדה המאשימה על מדיניות הענישה הנוהגת בנסיבות דומות ועל נסיבות ביצוע העבירה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לעמדת המאשימה יש לשרטט בעניינו של 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 xml:space="preserve">כך גם בהתייחס לנאשם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שעניינו הופרד כאמור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מתחם ענישה הנע בין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לריצוי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ובעניינו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מתחם ענישה הנע בין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לריצוי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מאסר מותנה וקנס כספי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מאחר והנאשמים הודו בעבירות המיוחסות להם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ובכך חסכו זמן שיפוטי יקר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ומאחר והם נעדרי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אזי יש למקם את עונשם ברף הבינוני נמוך של מתחם הענישה המוצע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על רקע שיקולי הרתעת הרבים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>טיעוני ההגנה לעניין העונש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הנאשם </w:t>
      </w:r>
      <w:r>
        <w:rPr>
          <w:rFonts w:eastAsia="Calibri" w:cs="Calibri" w:ascii="Calibri" w:hAnsi="Calibri"/>
          <w:u w:val="single"/>
        </w:rPr>
        <w:t>1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סנגוריו המלומדים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עוה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זילברשלג ובן אשר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עמדו על 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גילו של הנאשם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בבצעו את העבירה עמד על </w:t>
      </w:r>
      <w:r>
        <w:rPr>
          <w:rFonts w:eastAsia="Calibri" w:cs="Calibri" w:ascii="Calibri" w:hAnsi="Calibri"/>
        </w:rPr>
        <w:t>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ומחצה בקירוב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משמע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קרוב לסף המחייב הגשת תסקיר לעניין העונש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הסנגורים עמדו על 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הנאשם נעדר עבר פלילי ועל כך שזו הסתבכותו הראשונה עם החוק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הודגש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עסקינן בעבירת סיוע שאיננה מתאפיינת בסיוע מהותי וברור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אלא בסיוע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עמום</w:t>
      </w:r>
      <w:r>
        <w:rPr>
          <w:rFonts w:eastAsia="Calibri" w:cs="Calibri" w:ascii="Calibri" w:hAnsi="Calibri"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>כך על פי עובדות כתב האישום המתוקן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הודגש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הנאשם מתחרט על מעשיו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לראייה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נטל אחריות על מעשיו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מדובר בנשק יחיד ומאולתר שאינו רובה סער תקני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ללא תחמושת שנתפסה לצדו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ובכך טמונים שיקולים לקולה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 xml:space="preserve">הסנגורים הציגו לבית המשפט אסופת פסיקה ועתרו להשית על הנאשם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לריצוי בפועל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שכן הנאשם מצוי במעצר בתיק זה במשך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 בקירוב</w:t>
      </w:r>
      <w:r>
        <w:rPr>
          <w:rFonts w:eastAsia="Calibri"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בדבריו אל בית המשפט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ציין כי הוא מצטער על מעשיו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הוסיף שלא יחזור על מעשיו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eastAsia="Calibri"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 xml:space="preserve">הנאשם </w:t>
      </w:r>
      <w:r>
        <w:rPr>
          <w:rFonts w:eastAsia="Calibri" w:cs="Calibri" w:ascii="Calibri" w:hAnsi="Calibri"/>
          <w:u w:val="single"/>
        </w:rPr>
        <w:t>3</w:t>
      </w:r>
      <w:r>
        <w:rPr>
          <w:rFonts w:eastAsia="Calibri" w:cs="Calibri" w:ascii="Calibri" w:hAnsi="Calibri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סנגורו המלומד של 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סלימאן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הגיש לבית המשפט אסופת פסיקה המתאימה לשיטתו לעניינו של הנאשם וסקר את חלקה במהלך הדיון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לדידו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המתחם ההולם את נסיבות עניינו של הנאשם נע בין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לריצוי בפועל לבין </w:t>
      </w:r>
      <w:r>
        <w:rPr>
          <w:rFonts w:eastAsia="Calibri" w:cs="Calibri" w:ascii="Calibri" w:hAnsi="Calibri"/>
        </w:rPr>
        <w:t>21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לריצוי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נוכח עברו הנקי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גילו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וסוג הנשק שהוחזק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>נטען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עונשו של 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צריך להיות ממוקם בתחתית מתחם הענישה המוצע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rtl w:val="true"/>
        </w:rPr>
        <w:t xml:space="preserve">הנאשם </w:t>
      </w:r>
      <w:r>
        <w:rPr>
          <w:rFonts w:eastAsia="Calibri" w:cs="Calibri" w:ascii="Calibri" w:hAnsi="Calibri"/>
          <w:b/>
          <w:bCs/>
        </w:rPr>
        <w:t>3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פנה בדבריו אל בית המשפט</w:t>
      </w:r>
      <w:r>
        <w:rPr>
          <w:rFonts w:ascii="Calibri" w:hAnsi="Calibri" w:eastAsia="Calibri" w:cs="Calibri"/>
          <w:rtl w:val="true"/>
        </w:rPr>
        <w:t xml:space="preserve"> וציין כי הוא מצטער על מעשיו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הוסיף שלא יחזור על מעשיו וביקש מבית המשפט לאפשר לו לבנות את חייו מחדש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רכישתו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הובלתו והשימוש בו הפכו למרבה הצער למכת מדינה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לעניין זה למשל</w:t>
      </w:r>
      <w:r>
        <w:rPr>
          <w:rFonts w:eastAsia="Calibri" w:cs="David" w:ascii="David" w:hAnsi="David"/>
          <w:rtl w:val="true"/>
        </w:rPr>
        <w:t xml:space="preserve">: 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1695/22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גנאים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29.3.22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מדינה ריבונית ומתוקנת איננה יכולה לקבל 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גורל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תופעה שבמסגרתה מוחזק נשק 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חוקי בקרב אזרחיה ותושביה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תופעה שכזו חותרת תחת שלומם וביטחונם של אזרחיה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ועלולה חלילה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לכרסם ביסודות לחם חוקה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David" w:hAnsi="David" w:eastAsia="Calibri"/>
          <w:rtl w:val="true"/>
        </w:rPr>
        <w:t>פעם אחר פעם בשנים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חזר ועמד 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המשפט העליון על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 בנשק 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המוחזק בידיים בלתי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מוסמכות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עלול לבסוף להגיע לכלל שימוש מסוכן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מתאימים לעניין זה הדברים שנכתבו במסגרתו של  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סובח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פסקאות </w:t>
      </w:r>
      <w:r>
        <w:rPr>
          <w:rFonts w:eastAsia="Calibri" w:cs="David" w:ascii="David" w:hAnsi="David"/>
        </w:rPr>
        <w:t>17-16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ולפיהם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spacing w:lineRule="auto" w:line="276" w:before="0" w:after="200"/>
        <w:ind w:start="793" w:end="851"/>
        <w:jc w:val="both"/>
        <w:rPr>
          <w:rFonts w:ascii="Miriam" w:hAnsi="Miriam" w:eastAsia="Calibri" w:cs="Miriam"/>
        </w:rPr>
      </w:pPr>
      <w:r>
        <w:rPr>
          <w:rFonts w:eastAsia="Calibri" w:cs="Miriam" w:ascii="Miriam" w:hAnsi="Miriam"/>
          <w:rtl w:val="true"/>
        </w:rPr>
        <w:t>"</w:t>
      </w:r>
      <w:r>
        <w:rPr>
          <w:rFonts w:ascii="Miriam" w:hAnsi="Miriam" w:eastAsia="Calibri" w:cs="Miriam"/>
          <w:rtl w:val="true"/>
        </w:rPr>
        <w:t>השימוש בנשק חם ככלי ליישוב סכסוכים הפך לרעה חולה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Miriam" w:ascii="Miriam" w:hAnsi="Miriam"/>
          <w:rtl w:val="true"/>
        </w:rPr>
        <w:t xml:space="preserve">. </w:t>
      </w:r>
      <w:r>
        <w:rPr>
          <w:rFonts w:ascii="Miriam" w:hAnsi="Miriam" w:eastAsia="Calibri" w:cs="Miriam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Miriam" w:ascii="Miriam" w:hAnsi="Miriam"/>
          <w:rtl w:val="true"/>
        </w:rPr>
        <w:t>(</w:t>
      </w:r>
      <w:r>
        <w:rPr>
          <w:rFonts w:ascii="Miriam" w:hAnsi="Miriam" w:eastAsia="Calibri" w:cs="Miriam"/>
          <w:rtl w:val="true"/>
        </w:rPr>
        <w:t>ראו למשל</w:t>
      </w:r>
      <w:r>
        <w:rPr>
          <w:rFonts w:eastAsia="Calibri" w:cs="Miriam" w:ascii="Miriam" w:hAnsi="Miriam"/>
          <w:rtl w:val="true"/>
        </w:rPr>
        <w:t xml:space="preserve">: </w:t>
      </w:r>
      <w:r>
        <w:rPr>
          <w:rFonts w:ascii="Miriam" w:hAnsi="Miriam" w:eastAsia="Calibri" w:cs="Miriam"/>
          <w:rtl w:val="true"/>
        </w:rPr>
        <w:t>דו</w:t>
      </w:r>
      <w:r>
        <w:rPr>
          <w:rFonts w:eastAsia="Calibri" w:cs="Miriam" w:ascii="Miriam" w:hAnsi="Miriam"/>
          <w:rtl w:val="true"/>
        </w:rPr>
        <w:t>"</w:t>
      </w:r>
      <w:r>
        <w:rPr>
          <w:rFonts w:ascii="Miriam" w:hAnsi="Miriam" w:eastAsia="Calibri" w:cs="Miriam"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eastAsia="Calibri" w:cs="Miriam" w:ascii="Miriam" w:hAnsi="Miriam"/>
        </w:rPr>
        <w:t>28</w:t>
      </w:r>
      <w:r>
        <w:rPr>
          <w:rFonts w:eastAsia="Calibri" w:cs="Miriam" w:ascii="Miriam" w:hAnsi="Miriam"/>
          <w:rtl w:val="true"/>
        </w:rPr>
        <w:t xml:space="preserve"> (</w:t>
      </w:r>
      <w:r>
        <w:rPr>
          <w:rFonts w:eastAsia="Calibri" w:cs="Miriam" w:ascii="Miriam" w:hAnsi="Miriam"/>
        </w:rPr>
        <w:t>2018</w:t>
      </w:r>
      <w:r>
        <w:rPr>
          <w:rFonts w:eastAsia="Calibri" w:cs="Miriam" w:ascii="Miriam" w:hAnsi="Miriam"/>
          <w:rtl w:val="true"/>
        </w:rPr>
        <w:t>)).</w:t>
      </w:r>
      <w:r>
        <w:rPr>
          <w:rFonts w:ascii="Miriam" w:hAnsi="Miriam" w:eastAsia="Calibri" w:cs="Miriam"/>
          <w:rtl w:val="true"/>
        </w:rPr>
        <w:t>על רקע המציאות אותה אנו חווים למרבה הצער מדי יום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Miriam" w:ascii="Miriam" w:hAnsi="Miriam"/>
          <w:rtl w:val="true"/>
        </w:rPr>
        <w:t>.</w:t>
      </w:r>
    </w:p>
    <w:p>
      <w:pPr>
        <w:pStyle w:val="Normal"/>
        <w:spacing w:lineRule="auto" w:line="276" w:before="0" w:after="200"/>
        <w:ind w:start="793" w:end="851"/>
        <w:jc w:val="both"/>
        <w:rPr>
          <w:rFonts w:ascii="Miriam" w:hAnsi="Miriam" w:eastAsia="Calibri" w:cs="Miriam"/>
        </w:rPr>
      </w:pPr>
      <w:r>
        <w:rPr>
          <w:rFonts w:eastAsia="Calibri" w:cs="Miriam" w:ascii="Miriam" w:hAnsi="Miriam"/>
          <w:rtl w:val="true"/>
        </w:rPr>
        <w:t>[...]</w:t>
      </w:r>
    </w:p>
    <w:p>
      <w:pPr>
        <w:pStyle w:val="Normal"/>
        <w:spacing w:lineRule="auto" w:line="276" w:before="0" w:after="200"/>
        <w:ind w:start="793" w:end="851"/>
        <w:jc w:val="both"/>
        <w:rPr/>
      </w:pPr>
      <w:r>
        <w:rPr>
          <w:rFonts w:ascii="Miriam" w:hAnsi="Miriam" w:eastAsia="Calibri" w:cs="Miriam"/>
          <w:rtl w:val="true"/>
        </w:rPr>
        <w:t>בהתאם לכך ולנוכח ריבוי מקרי הירי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b/>
          <w:b/>
          <w:bCs/>
          <w:u w:val="single"/>
          <w:rtl w:val="true"/>
        </w:rPr>
        <w:t>יש לנקוט במדיניות ענישה מחמירה כלפי ביצוע עבירות החזקת נשק שלא כדין</w:t>
      </w:r>
      <w:r>
        <w:rPr>
          <w:rFonts w:eastAsia="Calibri" w:cs="Miriam" w:ascii="Miriam" w:hAnsi="Miriam"/>
          <w:b/>
          <w:bCs/>
          <w:u w:val="single"/>
          <w:rtl w:val="true"/>
        </w:rPr>
        <w:t>,</w:t>
      </w:r>
      <w:r>
        <w:rPr>
          <w:rFonts w:eastAsia="Calibri" w:cs="Miriam" w:ascii="Miriam" w:hAnsi="Miriam"/>
          <w:rtl w:val="true"/>
        </w:rPr>
        <w:t xml:space="preserve"> </w:t>
      </w:r>
      <w:r>
        <w:rPr>
          <w:rFonts w:ascii="Miriam" w:hAnsi="Miriam" w:eastAsia="Calibri" w:cs="Miriam"/>
          <w:rtl w:val="true"/>
        </w:rPr>
        <w:t>ועל אחת כמה וכמה שימוש בנשק חם ופציעתם של קורבנות שונים עקב כך</w:t>
      </w:r>
      <w:r>
        <w:rPr>
          <w:rFonts w:eastAsia="Calibri" w:cs="Miriam" w:ascii="Miriam" w:hAnsi="Miriam"/>
          <w:rtl w:val="true"/>
        </w:rPr>
        <w:t xml:space="preserve">. </w:t>
      </w:r>
      <w:r>
        <w:rPr>
          <w:rFonts w:ascii="Miriam" w:hAnsi="Miriam" w:eastAsia="Calibri" w:cs="Miriam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כמו גם להגעתו של נשק זה לגורמים עויינים ובכללם גורמי טרור</w:t>
      </w:r>
      <w:r>
        <w:rPr>
          <w:rFonts w:eastAsia="Calibri" w:cs="Miriam" w:ascii="Miriam" w:hAnsi="Miriam"/>
          <w:rtl w:val="true"/>
        </w:rPr>
        <w:t xml:space="preserve">. </w:t>
      </w:r>
      <w:r>
        <w:rPr>
          <w:rFonts w:ascii="Miriam" w:hAnsi="Miriam" w:eastAsia="Calibri" w:cs="Miriam"/>
          <w:rtl w:val="true"/>
        </w:rPr>
        <w:t>נמצא אפוא כי בנסיבות דהיום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ראוי ונכון להחמיר את מדיניות הענישה הנוהגת</w:t>
      </w:r>
      <w:r>
        <w:rPr>
          <w:rFonts w:eastAsia="Calibri" w:cs="Miriam" w:ascii="Miriam" w:hAnsi="Miriam"/>
          <w:rtl w:val="true"/>
        </w:rPr>
        <w:t xml:space="preserve">, </w:t>
      </w:r>
      <w:r>
        <w:rPr>
          <w:rFonts w:ascii="Miriam" w:hAnsi="Miriam" w:eastAsia="Calibri" w:cs="Miriam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eastAsia="Calibri" w:cs="Miriam" w:ascii="Miriam" w:hAnsi="Miriam"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ההדגשה אינה במקור</w:t>
      </w:r>
      <w:r>
        <w:rPr>
          <w:rFonts w:eastAsia="Calibri"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כידוע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 נפנים לבצע את מלאכת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העיקרון המנחה שנקבע במסגרת תורת הבניית שיקול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הדעת השיפוטי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עקרון ההלימה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משמע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>שימור יחס הולם בין חומרת מעשה העבירה בנסיבותיו ומידת אשמו של הנאשם ובין סוג העונש המוטל עליו ומידתו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מנת לשמר יחס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עובר לקביעת העונש יש לשרטט מתחם עונש 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מתוך התחשבות בערך החברתי בו פגע המעשה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קביעת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וככל שבית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המשפט לא מצא לנכון לסטות הימנו מטעמים של שיקום או של הגנה על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ייקבע העונש המתאים לנאשם בשים לב לנסיבותיו האישיות ולנתונים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הללו שאינם 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ראשית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אפנה לדון </w:t>
      </w:r>
      <w:r>
        <w:rPr>
          <w:rFonts w:ascii="David" w:hAnsi="David" w:eastAsia="Calibri"/>
          <w:b/>
          <w:b/>
          <w:bCs/>
          <w:rtl w:val="true"/>
        </w:rPr>
        <w:t>בעניינו של הנאשם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200"/>
        <w:ind w:end="-284"/>
        <w:jc w:val="both"/>
        <w:rPr/>
      </w:pPr>
      <w:r>
        <w:rPr>
          <w:rFonts w:ascii="David" w:hAnsi="David" w:eastAsia="Calibri"/>
          <w:rtl w:val="true"/>
        </w:rPr>
        <w:t>בכל הנוגע לערכים החברתיים המוגנים שנפגעו כפועל יוצא ממעשיו של נאשם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שהדברים מובנים מאליהם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המחזיק נשק בלא רשות על פי דין פוגע בראש ובראשונה </w:t>
      </w:r>
      <w:r>
        <w:rPr>
          <w:rFonts w:ascii="David" w:hAnsi="David" w:eastAsia="Calibri"/>
          <w:b/>
          <w:b/>
          <w:bCs/>
          <w:rtl w:val="true"/>
        </w:rPr>
        <w:t>בביטחון המדינה ובמנגנוני שלטונה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בשלום הציבור ובסדר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הוא פוגע בביטחון הציבור </w:t>
      </w:r>
      <w:r>
        <w:rPr>
          <w:rFonts w:ascii="David" w:hAnsi="David" w:eastAsia="Calibri"/>
          <w:b/>
          <w:b/>
          <w:bCs/>
          <w:rtl w:val="true"/>
        </w:rPr>
        <w:t>וחושף אותו לאירועי טרור עוין כמו גם פלילי המבוצעים באמצעות 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המוחזק והמושג שלא כחוק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הפגיעה בערכים אלו ממשית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-284"/>
        <w:jc w:val="both"/>
        <w:rPr/>
      </w:pPr>
      <w:r>
        <w:rPr>
          <w:rFonts w:ascii="David" w:hAnsi="David" w:eastAsia="Calibri"/>
          <w:rtl w:val="true"/>
        </w:rPr>
        <w:t>תופעה זו יש לבער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הדברים בוטאו כך מפי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השופט מזוז במסגרתו של 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סובח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15.11.19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בציינו כדלהלן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spacing w:lineRule="auto" w:line="276" w:before="0" w:after="200"/>
        <w:ind w:start="1371" w:end="851"/>
        <w:jc w:val="both"/>
        <w:rPr/>
      </w:pPr>
      <w:r>
        <w:rPr>
          <w:rFonts w:eastAsia="Calibri" w:cs="Miriam" w:ascii="Miriam" w:hAnsi="Miriam"/>
          <w:b/>
          <w:rtl w:val="true"/>
        </w:rPr>
        <w:t>"</w:t>
      </w:r>
      <w:r>
        <w:rPr>
          <w:rFonts w:ascii="Miriam" w:hAnsi="Miriam" w:eastAsia="Calibri" w:cs="Miriam"/>
          <w:b/>
          <w:b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eastAsia="Calibri" w:cs="Miriam" w:ascii="Miriam" w:hAnsi="Miriam"/>
          <w:b/>
          <w:rtl w:val="true"/>
        </w:rPr>
        <w:t xml:space="preserve">, </w:t>
      </w:r>
      <w:r>
        <w:rPr>
          <w:rFonts w:ascii="Miriam" w:hAnsi="Miriam" w:eastAsia="Calibri" w:cs="Miriam"/>
          <w:b/>
          <w:b/>
          <w:rtl w:val="true"/>
        </w:rPr>
        <w:t xml:space="preserve">בבחינת </w:t>
      </w:r>
      <w:r>
        <w:rPr>
          <w:rFonts w:eastAsia="Calibri" w:cs="Miriam" w:ascii="Miriam" w:hAnsi="Miriam"/>
          <w:b/>
          <w:rtl w:val="true"/>
        </w:rPr>
        <w:t>'</w:t>
      </w:r>
      <w:r>
        <w:rPr>
          <w:rFonts w:ascii="Miriam" w:hAnsi="Miriam" w:eastAsia="Calibri" w:cs="Miriam"/>
          <w:b/>
          <w:b/>
          <w:rtl w:val="true"/>
        </w:rPr>
        <w:t>ייבוש הביצה</w:t>
      </w:r>
      <w:r>
        <w:rPr>
          <w:rFonts w:eastAsia="Calibri" w:cs="Miriam" w:ascii="Miriam" w:hAnsi="Miriam"/>
          <w:b/>
          <w:rtl w:val="true"/>
        </w:rPr>
        <w:t xml:space="preserve">' </w:t>
      </w:r>
      <w:r>
        <w:rPr>
          <w:rFonts w:ascii="Miriam" w:hAnsi="Miriam" w:eastAsia="Calibri" w:cs="Miriam"/>
          <w:b/>
          <w:b/>
          <w:rtl w:val="true"/>
        </w:rPr>
        <w:t>המשמשת ערש לגידולן של תופעות אלה</w:t>
      </w:r>
      <w:r>
        <w:rPr>
          <w:rFonts w:eastAsia="Calibri" w:cs="Miriam" w:ascii="Miriam" w:hAnsi="Miriam"/>
          <w:b/>
          <w:rtl w:val="true"/>
        </w:rPr>
        <w:t xml:space="preserve">. </w:t>
      </w:r>
      <w:r>
        <w:rPr>
          <w:rFonts w:ascii="Miriam" w:hAnsi="Miriam" w:eastAsia="Calibri" w:cs="Miriam"/>
          <w:bCs/>
          <w:rtl w:val="true"/>
        </w:rPr>
        <w:t>מהלך כזה מחייב הירתמות גם של בתי המשפט</w:t>
      </w:r>
      <w:r>
        <w:rPr>
          <w:rFonts w:eastAsia="Calibri" w:cs="Miriam" w:ascii="Miriam" w:hAnsi="Miriam"/>
          <w:bCs/>
          <w:rtl w:val="true"/>
        </w:rPr>
        <w:t xml:space="preserve">, </w:t>
      </w:r>
      <w:r>
        <w:rPr>
          <w:rFonts w:ascii="Miriam" w:hAnsi="Miriam" w:eastAsia="Calibri" w:cs="Miriam"/>
          <w:bCs/>
          <w:rtl w:val="true"/>
        </w:rPr>
        <w:t>על ידי ענישה מחמירה ומרתיעה לעבירות נשק בלתי חוקי באשר הן</w:t>
      </w:r>
      <w:r>
        <w:rPr>
          <w:rFonts w:eastAsia="Calibri" w:cs="Miriam" w:ascii="Miriam" w:hAnsi="Miriam"/>
          <w:bCs/>
          <w:rtl w:val="true"/>
        </w:rPr>
        <w:t xml:space="preserve">, </w:t>
      </w:r>
      <w:r>
        <w:rPr>
          <w:rFonts w:ascii="Miriam" w:hAnsi="Miriam" w:eastAsia="Calibri" w:cs="Miriam"/>
          <w:bCs/>
          <w:rtl w:val="true"/>
        </w:rPr>
        <w:t>וכל שכן מקום שנעשה בנשק כזה שימוש בביצוע עבירות אלימות לסוגיהן</w:t>
      </w:r>
      <w:r>
        <w:rPr>
          <w:rFonts w:eastAsia="Calibri" w:cs="Miriam" w:ascii="Miriam" w:hAnsi="Miriam"/>
          <w:bCs/>
          <w:rtl w:val="true"/>
        </w:rPr>
        <w:t>"</w:t>
      </w:r>
      <w:r>
        <w:rPr>
          <w:rFonts w:eastAsia="Calibri" w:cs="Miriam" w:ascii="Miriam" w:hAnsi="Miriam"/>
          <w:rtl w:val="true"/>
        </w:rPr>
        <w:t xml:space="preserve">           (</w:t>
      </w:r>
      <w:r>
        <w:rPr>
          <w:rFonts w:ascii="David" w:hAnsi="David" w:eastAsia="Calibri"/>
          <w:rtl w:val="true"/>
        </w:rPr>
        <w:t>ההדגשה אינה במקור</w:t>
      </w:r>
      <w:r>
        <w:rPr>
          <w:rFonts w:eastAsia="Calibri" w:cs="Miriam" w:ascii="Miriam" w:hAnsi="Miriam"/>
          <w:rtl w:val="true"/>
        </w:rPr>
        <w:t xml:space="preserve">).  </w:t>
      </w:r>
    </w:p>
    <w:p>
      <w:pPr>
        <w:pStyle w:val="Normal"/>
        <w:spacing w:lineRule="auto" w:line="360" w:before="0" w:after="200"/>
        <w:ind w:end="-284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200"/>
        <w:ind w:end="-284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על מנת לשרטט כדבעי את מתחם העונש ההולם בעניינו של הנאשם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עיינתי בפסיקה רחבה העוסקת בעבירת החזקת 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נמצאתי למד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בשנים האחרונות חלה אט אט מגמת החמרה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הבאה לידי ביטוי בפסיקת הערכאות השונות הנוגעת לעבירה זו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Calibri" w:hAnsi="Calibri" w:eastAsia="Calibri" w:cs="Calibri"/>
          <w:rtl w:val="true"/>
        </w:rPr>
        <w:t xml:space="preserve">משקל ניכר בקביעת העונש בעבירות של החזקת נשק יש לתלות </w:t>
      </w:r>
      <w:r>
        <w:rPr>
          <w:rFonts w:ascii="Calibri" w:hAnsi="Calibri" w:eastAsia="Calibri" w:cs="Calibri"/>
          <w:b/>
          <w:b/>
          <w:bCs/>
          <w:rtl w:val="true"/>
        </w:rPr>
        <w:t>באופי הנשק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במידת קטלניותו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בכמות הנשקים המוחזקים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בתחמושת שנתפסה לצדו וכיוצ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למעשה</w:t>
      </w:r>
      <w:r>
        <w:rPr>
          <w:rFonts w:eastAsia="Calibri" w:cs="Calibri" w:ascii="Calibri" w:hAnsi="Calibri"/>
          <w:rtl w:val="true"/>
        </w:rPr>
        <w:t>, "</w:t>
      </w:r>
      <w:r>
        <w:rPr>
          <w:rFonts w:ascii="Calibri Light" w:hAnsi="Calibri Light" w:eastAsia="Calibri" w:cs="Times New Roman"/>
          <w:rtl w:val="true"/>
        </w:rPr>
        <w:t>כבכל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עבירה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גם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בעבירות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נשק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קיים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מדרג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חומרה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ושומה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המשפט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להביאו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בחשבון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בבואו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לקבוע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מתחם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העונש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ההולם</w:t>
      </w:r>
      <w:r>
        <w:rPr>
          <w:rFonts w:eastAsia="Calibri" w:cs="Miriam" w:ascii="Calibri" w:hAnsi="Calibri"/>
          <w:rtl w:val="true"/>
        </w:rPr>
        <w:t>"</w:t>
      </w:r>
      <w:r>
        <w:rPr>
          <w:rFonts w:eastAsia="Calibri" w:cs="David" w:ascii="David" w:hAnsi="David"/>
          <w:rtl w:val="true"/>
        </w:rPr>
        <w:t>(</w:t>
      </w:r>
      <w:hyperlink r:id="rId2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9702/16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אלוליאיה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8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13.9.17</w:t>
      </w:r>
      <w:r>
        <w:rPr>
          <w:rFonts w:eastAsia="Calibri" w:cs="Calibri" w:ascii="Calibri" w:hAnsi="Calibri"/>
          <w:rtl w:val="true"/>
        </w:rPr>
        <w:t>) (</w:t>
      </w:r>
      <w:r>
        <w:rPr>
          <w:rFonts w:ascii="Calibri" w:hAnsi="Calibri" w:eastAsia="Calibri" w:cs="Calibri"/>
          <w:rtl w:val="true"/>
        </w:rPr>
        <w:t>ראו בנוסף לעניין זה</w:t>
      </w:r>
      <w:r>
        <w:rPr>
          <w:rFonts w:eastAsia="Calibri" w:cs="Calibri" w:ascii="Calibri" w:hAnsi="Calibri"/>
          <w:rtl w:val="true"/>
        </w:rPr>
        <w:t xml:space="preserve">: </w:t>
      </w:r>
      <w:hyperlink r:id="rId2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4059/17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סלמה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24.4.18</w:t>
      </w:r>
      <w:r>
        <w:rPr>
          <w:rFonts w:eastAsia="Calibri" w:cs="Calibri" w:ascii="Calibri" w:hAnsi="Calibri"/>
          <w:rtl w:val="true"/>
        </w:rPr>
        <w:t>)</w:t>
      </w:r>
      <w:r>
        <w:rPr>
          <w:rFonts w:eastAsia="Calibri" w:cs="Miriam" w:ascii="Calibri" w:hAnsi="Calibri"/>
          <w:rtl w:val="true"/>
        </w:rPr>
        <w:t xml:space="preserve">.  </w:t>
      </w:r>
      <w:r>
        <w:rPr>
          <w:rFonts w:eastAsia="Calibri" w:cs="Calibri" w:ascii="Calibri" w:hAnsi="Calibri"/>
          <w:rtl w:val="true"/>
        </w:rPr>
        <w:t xml:space="preserve"> 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כך למשל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במסגרת 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15295-08-23</w:t>
        </w:r>
      </w:hyperlink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מחוזי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b/>
          <w:b/>
          <w:bCs/>
          <w:rtl w:val="true"/>
        </w:rPr>
        <w:t>אלגרינאוי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10.1.24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b/>
          <w:b/>
          <w:bCs/>
          <w:rtl w:val="true"/>
        </w:rPr>
        <w:t xml:space="preserve">הושתו </w:t>
      </w:r>
      <w:r>
        <w:rPr>
          <w:rFonts w:eastAsia="Calibri" w:cs="David" w:ascii="David" w:hAnsi="David"/>
          <w:b/>
          <w:bCs/>
        </w:rPr>
        <w:t>26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בגין החזקת נשק דמוי רובה סער מסוג </w:t>
      </w:r>
      <w:r>
        <w:rPr>
          <w:rFonts w:eastAsia="Calibri" w:cs="David" w:ascii="David" w:hAnsi="David"/>
        </w:rPr>
        <w:t>m- 16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שהוסב לירי תחמושת </w:t>
      </w:r>
      <w:r>
        <w:rPr>
          <w:rFonts w:eastAsia="Calibri" w:cs="David" w:ascii="David" w:hAnsi="David"/>
        </w:rPr>
        <w:t>5.56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ביחד עם שלוש מחסניות המכילות כמה עשרות כדורי </w:t>
      </w:r>
      <w:r>
        <w:rPr>
          <w:rFonts w:eastAsia="Calibri" w:cs="David" w:ascii="David" w:hAnsi="David"/>
        </w:rPr>
        <w:t>5.56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במסגרתו של 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2024-04-21</w:t>
        </w:r>
      </w:hyperlink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מחוזי נצרת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חוסיין מנדורי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ניתן ביום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</w:rPr>
        <w:t>29.06.2021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בגין החזקת רובה דמוי סער מסוג </w:t>
      </w:r>
      <w:r>
        <w:rPr>
          <w:rFonts w:eastAsia="Calibri" w:cs="David" w:ascii="David" w:hAnsi="David"/>
        </w:rPr>
        <w:t>M-16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איר סופט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וחלק תחתון של רובה </w:t>
      </w:r>
      <w:r>
        <w:rPr>
          <w:rFonts w:eastAsia="Calibri" w:cs="David" w:ascii="David" w:hAnsi="David"/>
        </w:rPr>
        <w:t>M-16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ומחסנית תואמת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עם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b/>
          <w:b/>
          <w:bCs/>
          <w:rtl w:val="true"/>
        </w:rPr>
        <w:t xml:space="preserve">הושתו </w:t>
      </w:r>
      <w:r>
        <w:rPr>
          <w:rFonts w:eastAsia="Calibri" w:cs="David" w:ascii="David" w:hAnsi="David"/>
          <w:b/>
          <w:bCs/>
        </w:rPr>
        <w:t>20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 </w:t>
      </w:r>
      <w:r>
        <w:rPr>
          <w:rFonts w:ascii="David" w:hAnsi="David" w:eastAsia="Calibri"/>
          <w:rtl w:val="true"/>
        </w:rPr>
        <w:t>מאסר לריצוי בפועל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במסגרתו של 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1806/22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נבארי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15.6.22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הושתו </w:t>
      </w:r>
      <w:r>
        <w:rPr>
          <w:rFonts w:eastAsia="Calibri" w:cs="David" w:ascii="David" w:hAnsi="David"/>
          <w:b/>
          <w:bCs/>
        </w:rPr>
        <w:t>16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ascii="David" w:hAnsi="David" w:eastAsia="Calibri"/>
          <w:rtl w:val="true"/>
        </w:rPr>
        <w:t xml:space="preserve"> בגין החזקת אקדח חצי אוטומטי טעון במחסנית ובכדורים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במסגרתו של 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ב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ש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54607-07-19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גבור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12.01.2020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b/>
          <w:b/>
          <w:bCs/>
          <w:rtl w:val="true"/>
        </w:rPr>
        <w:t xml:space="preserve">הושתו </w:t>
      </w:r>
      <w:r>
        <w:rPr>
          <w:rFonts w:eastAsia="Calibri" w:cs="David" w:ascii="David" w:hAnsi="David"/>
          <w:b/>
          <w:bCs/>
        </w:rPr>
        <w:t>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בגין החזקת רוס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ר </w:t>
      </w:r>
      <w:r>
        <w:rPr>
          <w:rFonts w:eastAsia="Calibri" w:cs="David" w:ascii="David" w:hAnsi="David"/>
        </w:rPr>
        <w:t>M-16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ריקה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5646/15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תיהאווי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14.2.16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במסגרתו הושתו </w:t>
      </w:r>
      <w:r>
        <w:rPr>
          <w:rFonts w:eastAsia="Calibri" w:cs="David" w:ascii="David" w:hAnsi="David"/>
          <w:b/>
          <w:bCs/>
        </w:rPr>
        <w:t>15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 מאסר לריצוי בפועל </w:t>
      </w:r>
      <w:r>
        <w:rPr>
          <w:rFonts w:ascii="David" w:hAnsi="David" w:eastAsia="Calibri"/>
          <w:rtl w:val="true"/>
        </w:rPr>
        <w:t>בגין החזקת אקדח טעון במחסנית ובה כדורים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במסגרתו של 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2141/21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חניני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27.5.21</w:t>
      </w:r>
      <w:r>
        <w:rPr>
          <w:rFonts w:eastAsia="Calibri" w:cs="David" w:ascii="David" w:hAnsi="David"/>
          <w:rtl w:val="true"/>
        </w:rPr>
        <w:t xml:space="preserve">) – </w:t>
      </w:r>
      <w:r>
        <w:rPr>
          <w:rFonts w:ascii="David" w:hAnsi="David" w:eastAsia="Calibri"/>
          <w:b/>
          <w:b/>
          <w:bCs/>
          <w:rtl w:val="true"/>
        </w:rPr>
        <w:t xml:space="preserve">הושתו </w:t>
      </w:r>
      <w:r>
        <w:rPr>
          <w:rFonts w:eastAsia="Calibri" w:cs="David" w:ascii="David" w:hAnsi="David"/>
          <w:b/>
          <w:bCs/>
        </w:rPr>
        <w:t>20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ascii="David" w:hAnsi="David" w:eastAsia="Calibri"/>
          <w:rtl w:val="true"/>
        </w:rPr>
        <w:t xml:space="preserve"> בגין החזקת אקדח אוויר שבוצעו בו שינויים וכדורים תואמים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כאן המקום לציין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בהקשרה של עבירת הנשק המיוחסת לנאשם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נכנסה לתוקף זה לא כבר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מיום </w:t>
      </w:r>
      <w:r>
        <w:rPr>
          <w:rFonts w:eastAsia="Calibri" w:cs="David" w:ascii="David" w:hAnsi="David"/>
        </w:rPr>
        <w:t>8.12.21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הוראת 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שבמסגרתו עוגנו </w:t>
      </w:r>
      <w:r>
        <w:rPr>
          <w:rFonts w:ascii="David" w:hAnsi="David" w:eastAsia="Calibri"/>
          <w:b/>
          <w:b/>
          <w:bCs/>
          <w:rtl w:val="true"/>
        </w:rPr>
        <w:t xml:space="preserve">עונשים מזעריים </w:t>
      </w:r>
      <w:r>
        <w:rPr>
          <w:rFonts w:ascii="David" w:hAnsi="David" w:eastAsia="Calibri"/>
          <w:rtl w:val="true"/>
        </w:rPr>
        <w:t>בכל הנוגע לעבירות שעניינן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הובלה או סחר בנשק שלא כדין </w:t>
      </w:r>
      <w:r>
        <w:rPr>
          <w:rFonts w:eastAsia="Calibri"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ז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בתיקון זה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העונש שיוטל על העבריין במקרים אלו </w:t>
      </w:r>
      <w:r>
        <w:rPr>
          <w:rFonts w:eastAsia="Calibri" w:cs="David" w:ascii="David" w:hAnsi="David"/>
          <w:rtl w:val="true"/>
        </w:rPr>
        <w:t>"...</w:t>
      </w:r>
      <w:r>
        <w:rPr>
          <w:rFonts w:ascii="David" w:hAnsi="David" w:eastAsia="Calibri"/>
          <w:b/>
          <w:b/>
          <w:bCs/>
          <w:rtl w:val="true"/>
        </w:rPr>
        <w:t>לא יפחת עונשו מרבע העונש המרבי שנקבע לאותה עבירה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אלא אם כן החליט בית המשפט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מטעמים מיוחדים שיירשמו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להקל בעונשו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עונש מאסר לפי סעיף קטן זה לא יהיה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בהעדר טעמים מיוחדים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כולו על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ascii="David" w:hAnsi="David" w:eastAsia="Calibri"/>
          <w:b/>
          <w:b/>
          <w:bCs/>
          <w:rtl w:val="true"/>
        </w:rPr>
        <w:t>תנאי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בהקשר זה יש להזכיר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העונש המרבי הקבוע לצדה של עבירת ההחזקה לפי </w:t>
      </w:r>
      <w:hyperlink r:id="rId29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color w:val="0000FF"/>
          </w:rPr>
          <w:t>144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א</w:t>
        </w:r>
        <w:r>
          <w:rPr>
            <w:rStyle w:val="Hyperlink"/>
            <w:rFonts w:eastAsia="Calibri" w:cs="David" w:ascii="David" w:hAnsi="David"/>
            <w:color w:val="0000FF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עומד על שבע שנות מאסר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להתייחס אל </w:t>
      </w:r>
      <w:r>
        <w:rPr>
          <w:rFonts w:ascii="David" w:hAnsi="David" w:eastAsia="Calibri"/>
          <w:b/>
          <w:b/>
          <w:bCs/>
          <w:rtl w:val="true"/>
        </w:rPr>
        <w:t xml:space="preserve">הנסיבות הקשורות לביצוע העבירה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אלו המצוינות </w:t>
      </w:r>
      <w:hyperlink r:id="rId30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-426"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rtl w:val="true"/>
        </w:rPr>
        <w:t>עובדות כתב האישום המתוקן מלמדות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 עסקינן ב</w:t>
      </w:r>
      <w:r>
        <w:rPr>
          <w:rFonts w:ascii="Calibri" w:hAnsi="Calibri" w:eastAsia="Calibri" w:cs="Calibri"/>
          <w:rtl w:val="true"/>
        </w:rPr>
        <w:t xml:space="preserve">נשק דמוי רובה סער </w:t>
      </w:r>
      <w:r>
        <w:rPr>
          <w:rFonts w:eastAsia="Calibri" w:cs="Calibri" w:ascii="Calibri" w:hAnsi="Calibri"/>
        </w:rPr>
        <w:t>m-4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המיועד לירי כדוריות פלסטיק בקוטר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מ ואשר הוסב לירי תחמושת בקליבר </w:t>
      </w:r>
      <w:r>
        <w:rPr>
          <w:rFonts w:eastAsia="Calibri" w:cs="Calibri" w:ascii="Calibri" w:hAnsi="Calibri"/>
        </w:rPr>
        <w:t>5.56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>כאשר לצדו נתפסה מחסנית ריקה תואמת המהווה אביזר לנשקף ללא תחמושת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 xml:space="preserve">חלקו של הנאשם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בהחזקת הנשק הנ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 xml:space="preserve">ל הוא משמעותי ועיקרי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בצוותא חדא עם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 </w:t>
      </w:r>
      <w:r>
        <w:rPr>
          <w:rFonts w:ascii="David" w:hAnsi="David" w:eastAsia="Calibri"/>
          <w:b/>
          <w:b/>
          <w:bCs/>
          <w:rtl w:val="true"/>
        </w:rPr>
        <w:t>הנאשם יכול והיה צריך לשלוט על מעשיו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אין בנמצא כל סייג לאחריות פלילית בהקשר זה הנזקף להגנתו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עלול היה להיגרם נזק נוסף כפועל יוצא משימוש שלא כדין בנשק לצרכים פליליים או אחרים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color w:val="FF0000"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 xml:space="preserve">למרבה המזל תפיסתו של הנשק </w:t>
      </w:r>
      <w:r>
        <w:rPr>
          <w:rFonts w:ascii="Calibri" w:hAnsi="Calibri" w:eastAsia="Calibri" w:cs="Calibri"/>
          <w:rtl w:val="true"/>
        </w:rPr>
        <w:t>בתוככי רפת בעיר טמרה</w:t>
      </w:r>
      <w:r>
        <w:rPr>
          <w:rFonts w:ascii="David" w:hAnsi="David" w:eastAsia="Calibri"/>
          <w:b/>
          <w:b/>
          <w:bCs/>
          <w:rtl w:val="true"/>
        </w:rPr>
        <w:t xml:space="preserve"> מנעה זאת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הסיבות שהביאו את 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לביצוע עבירה זו נותרו עלומות ולא הובהרו דיין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לאור כל המקובץ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לקבוע</w:t>
      </w:r>
      <w:r>
        <w:rPr>
          <w:rFonts w:ascii="David" w:hAnsi="David" w:eastAsia="Calibri"/>
          <w:b/>
          <w:b/>
          <w:bCs/>
          <w:rtl w:val="true"/>
        </w:rPr>
        <w:t xml:space="preserve"> מתחם ענישה בעניינו של הנאשם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אשר נע בין </w:t>
      </w:r>
      <w:r>
        <w:rPr>
          <w:rFonts w:eastAsia="Calibri" w:cs="David" w:ascii="David" w:hAnsi="David"/>
          <w:b/>
          <w:bCs/>
        </w:rPr>
        <w:t>18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לבין </w:t>
      </w:r>
      <w:r>
        <w:rPr>
          <w:rFonts w:eastAsia="Calibri" w:cs="David" w:ascii="David" w:hAnsi="David"/>
          <w:b/>
          <w:bCs/>
        </w:rPr>
        <w:t>30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 לבחון מהו העונש המתאים לנאשם בשים לב </w:t>
      </w:r>
      <w:r>
        <w:rPr>
          <w:rFonts w:ascii="David" w:hAnsi="David"/>
          <w:b/>
          <w:b/>
          <w:bCs/>
          <w:rtl w:val="true"/>
        </w:rPr>
        <w:t>לנסיבות שאינן קשורות בביצוע העבירה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יש לזקוף לזכותו של 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את </w:t>
      </w:r>
      <w:r>
        <w:rPr>
          <w:rFonts w:ascii="David" w:hAnsi="David" w:eastAsia="Calibri"/>
          <w:b/>
          <w:b/>
          <w:bCs/>
          <w:rtl w:val="true"/>
        </w:rPr>
        <w:t>החיסכון המשמעותי בזמן שיפוטי יקר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הנגזר מהודאתו ומנטילת האחריות שביצע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b/>
          <w:b/>
          <w:bCs/>
          <w:rtl w:val="true"/>
        </w:rPr>
        <w:t>עונש מאסר ממושך יפגע בנאשם</w:t>
      </w:r>
      <w:r>
        <w:rPr>
          <w:rFonts w:eastAsia="Calibri" w:cs="David" w:ascii="David" w:hAnsi="David"/>
          <w:b/>
          <w:bCs/>
          <w:rtl w:val="true"/>
        </w:rPr>
        <w:t xml:space="preserve">.  </w:t>
      </w:r>
      <w:r>
        <w:rPr>
          <w:rFonts w:ascii="David" w:hAnsi="David" w:eastAsia="Calibri"/>
          <w:rtl w:val="true"/>
        </w:rPr>
        <w:t>אזכיר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לא הופק תסקיר לעניין העונש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במובן זה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לא קיימת בנמצא המלצה שיקומית בעניינו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הנאשם נעדר עבר פלילי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>בנוסף לאמור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התנהגותו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סברתי כי בהחלט יש מקום לשכלל בגדרי מתחם הענישה את השיקול שעניינו </w:t>
      </w:r>
      <w:r>
        <w:rPr>
          <w:rFonts w:ascii="David" w:hAnsi="David" w:eastAsia="Calibri"/>
          <w:b/>
          <w:b/>
          <w:bCs/>
          <w:rtl w:val="true"/>
        </w:rPr>
        <w:t>בהרתעת הרבים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בהתאם </w:t>
      </w:r>
      <w:hyperlink r:id="rId31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ז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תוך העברת מסר לציבור הרחב שהתנהגות דומה ומסוכנת שכזו אינה מקובלת במחוזותינו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לאחר ששקלתי את כל השיקולים הדרושים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מצאתי לנכון להטיל על 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overflowPunct w:val="false"/>
        <w:autoSpaceDE w:val="false"/>
        <w:spacing w:lineRule="auto" w:line="360" w:before="0" w:after="200"/>
        <w:ind w:hanging="360" w:start="1543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בפועל מיום מעצרו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 w:before="0" w:after="200"/>
        <w:ind w:hanging="360" w:start="154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עבירות 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 w:before="0" w:after="200"/>
        <w:ind w:hanging="360" w:start="154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קנס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</w:t>
      </w:r>
      <w:r>
        <w:rPr>
          <w:rFonts w:cs="David" w:ascii="David" w:hAnsi="David"/>
        </w:rPr>
        <w:t>2000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עד יום </w:t>
      </w:r>
      <w:r>
        <w:rPr>
          <w:rFonts w:cs="David" w:ascii="David" w:hAnsi="David"/>
        </w:rPr>
        <w:t>1.1.25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154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אפנה כעת לדון </w:t>
      </w:r>
      <w:r>
        <w:rPr>
          <w:rFonts w:ascii="David" w:hAnsi="David"/>
          <w:b/>
          <w:b/>
          <w:bCs/>
          <w:rtl w:val="true"/>
        </w:rPr>
        <w:t>בעניינו של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end="-284"/>
        <w:jc w:val="both"/>
        <w:rPr/>
      </w:pPr>
      <w:r>
        <w:rPr>
          <w:rFonts w:ascii="David" w:hAnsi="David" w:eastAsia="Calibri"/>
          <w:rtl w:val="true"/>
        </w:rPr>
        <w:t>אזכיר לקורא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נאשם זה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בניגוד לנאשם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הורשע </w:t>
      </w:r>
      <w:r>
        <w:rPr>
          <w:rFonts w:ascii="Calibri" w:hAnsi="Calibri" w:eastAsia="Calibri" w:cs="Calibri"/>
          <w:rtl w:val="true"/>
        </w:rPr>
        <w:t xml:space="preserve">בעבירה שעניינה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סיוע</w:t>
      </w:r>
      <w:r>
        <w:rPr>
          <w:rFonts w:ascii="Calibri" w:hAnsi="Calibri" w:eastAsia="Calibri" w:cs="Calibri"/>
          <w:b/>
          <w:b/>
          <w:bCs/>
          <w:rtl w:val="true"/>
        </w:rPr>
        <w:t xml:space="preserve"> להחזקת נשק </w:t>
      </w:r>
      <w:r>
        <w:rPr>
          <w:rFonts w:ascii="Calibri" w:hAnsi="Calibri" w:eastAsia="Calibri" w:cs="Calibri"/>
          <w:rtl w:val="true"/>
        </w:rPr>
        <w:t xml:space="preserve">לפי </w:t>
      </w:r>
      <w:hyperlink r:id="rId34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סעיפים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 </w:t>
      </w:r>
      <w:r>
        <w:rPr>
          <w:rFonts w:eastAsia="Calibri" w:cs="Calibri" w:ascii="Calibri" w:hAnsi="Calibri"/>
          <w:rtl w:val="true"/>
        </w:rPr>
        <w:t xml:space="preserve">- </w:t>
      </w:r>
      <w:hyperlink r:id="rId35">
        <w:r>
          <w:rPr>
            <w:rStyle w:val="Hyperlink"/>
            <w:rFonts w:eastAsia="Calibri" w:cs="Calibri" w:ascii="Calibri" w:hAnsi="Calibri"/>
            <w:color w:val="0000FF"/>
          </w:rPr>
          <w:t>31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3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ככלל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בהתאם ל</w:t>
      </w:r>
      <w:hyperlink r:id="rId3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העונש על סיוע עומד על מחצית הענישה הנוגעת לעבירה העיקרית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בעוד כאשר עסקינן בעונש מזערי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 xml:space="preserve">העונש לא יפחת ממחציתו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ראו </w:t>
      </w:r>
      <w:hyperlink r:id="rId38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32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eastAsia="Calibri" w:cs="Calibri" w:ascii="Calibri" w:hAnsi="Calibri"/>
            <w:color w:val="0000FF"/>
          </w:rPr>
          <w:t>3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 העונשין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-284"/>
        <w:jc w:val="both"/>
        <w:rPr/>
      </w:pPr>
      <w:r>
        <w:rPr>
          <w:rFonts w:ascii="David" w:hAnsi="David" w:eastAsia="Calibri"/>
          <w:rtl w:val="true"/>
        </w:rPr>
        <w:t xml:space="preserve">בכל הנוגע לערכים החברתיים המוגנים שנפגעו כפועל יוצא ממעשיו של 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שגם בעניינו הדברים מובנים מאליהם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המסייע להחזיק נשק בלא רשות על פי דין פוגע בראש ובראשונה </w:t>
      </w:r>
      <w:r>
        <w:rPr>
          <w:rFonts w:ascii="David" w:hAnsi="David" w:eastAsia="Calibri"/>
          <w:b/>
          <w:b/>
          <w:bCs/>
          <w:rtl w:val="true"/>
        </w:rPr>
        <w:t>בביטחון המדינה ובמנגנוני שלטונה</w:t>
      </w:r>
      <w:r>
        <w:rPr>
          <w:rFonts w:eastAsia="Calibri" w:cs="David" w:ascii="David" w:hAnsi="David"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בשלום הציבור ובסדר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הוא פוגע בביטחון הציבור </w:t>
      </w:r>
      <w:r>
        <w:rPr>
          <w:rFonts w:ascii="David" w:hAnsi="David" w:eastAsia="Calibri"/>
          <w:b/>
          <w:b/>
          <w:bCs/>
          <w:rtl w:val="true"/>
        </w:rPr>
        <w:t>וחושף אותו לאירועי טרור עוין כמו גם פלילי המבוצעים באמצעות נשק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המוחזק והמושג שלא כחוק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הפגיעה בערכים אלו במקרה זה היא ממשית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אך ברי כי זו פחותה ורחוקה יותר מעניינו של 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>מבצעה העיקרי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-284"/>
        <w:jc w:val="both"/>
        <w:rPr/>
      </w:pPr>
      <w:r>
        <w:rPr>
          <w:rFonts w:ascii="David" w:hAnsi="David" w:eastAsia="Calibri"/>
          <w:rtl w:val="true"/>
        </w:rPr>
        <w:t xml:space="preserve">את מדיניות הענישה הנוגעת לביצועה של העבירה העיקרית סקרתי בעניינו של הנאשם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 מצאתי כי קיים צורך לסרוק את זו פעם נוספת כאן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ממדינות הענישה לעיל ניתן לגזור מהו העונש הנוהג גם בעניינו של מי שמסייע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יש לעשות כן גם כפועל יוצא של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אחידות הענישה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u w:val="single"/>
          <w:rtl w:val="true"/>
        </w:rPr>
        <w:t>אך תוך הבחנות נדרשות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משכך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להתייחס בהקשר זה כדבעי אל </w:t>
      </w:r>
      <w:r>
        <w:rPr>
          <w:rFonts w:ascii="David" w:hAnsi="David" w:eastAsia="Calibri"/>
          <w:b/>
          <w:b/>
          <w:bCs/>
          <w:rtl w:val="true"/>
        </w:rPr>
        <w:t xml:space="preserve">הנסיבות הקשורות לביצוע העבירה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אלו המצוינות </w:t>
      </w:r>
      <w:hyperlink r:id="rId39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200"/>
        <w:ind w:end="-426"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עסקינן ב</w:t>
      </w:r>
      <w:r>
        <w:rPr>
          <w:rFonts w:ascii="Calibri" w:hAnsi="Calibri" w:eastAsia="Calibri" w:cs="Calibri"/>
          <w:rtl w:val="true"/>
        </w:rPr>
        <w:t xml:space="preserve">נשק דמוי רובה סער </w:t>
      </w:r>
      <w:r>
        <w:rPr>
          <w:rFonts w:eastAsia="Calibri" w:cs="Calibri" w:ascii="Calibri" w:hAnsi="Calibri"/>
        </w:rPr>
        <w:t>m-4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המיועד לירי כדוריות פלסטיק בקוטר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מ ואשר הוסב לירי תחמושת בקליבר </w:t>
      </w:r>
      <w:r>
        <w:rPr>
          <w:rFonts w:eastAsia="Calibri" w:cs="Calibri" w:ascii="Calibri" w:hAnsi="Calibri"/>
        </w:rPr>
        <w:t>5.56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,  </w:t>
      </w:r>
      <w:r>
        <w:rPr>
          <w:rFonts w:ascii="Calibri" w:hAnsi="Calibri" w:eastAsia="Calibri" w:cs="Calibri"/>
          <w:rtl w:val="true"/>
        </w:rPr>
        <w:t>כאשר לצדו נתפסה מחסנית ריקה תואמת המהווה אביזר לנשקף ללא תחמושת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 xml:space="preserve">חלקו של 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בביצוע עבירת ההחזקה אינו העיקרי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שכן עסקינן בסיוע </w:t>
      </w:r>
      <w:r>
        <w:rPr>
          <w:rFonts w:ascii="David" w:hAnsi="David" w:eastAsia="Calibri"/>
          <w:b/>
          <w:b/>
          <w:bCs/>
          <w:u w:val="single"/>
          <w:rtl w:val="true"/>
        </w:rPr>
        <w:t>להחזקת הנשק</w:t>
      </w:r>
      <w:r>
        <w:rPr>
          <w:rFonts w:ascii="David" w:hAnsi="David" w:eastAsia="Calibri"/>
          <w:b/>
          <w:b/>
          <w:bCs/>
          <w:rtl w:val="true"/>
        </w:rPr>
        <w:t xml:space="preserve"> הנ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כזה מצוי מחוץ למעגל העיקרי של ביצועה עבירת ההחזקה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בהתאם לעובדות כתב האישום המתוקן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הרי שנאשם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"</w:t>
      </w:r>
      <w:r>
        <w:rPr>
          <w:rFonts w:ascii="Calibri" w:hAnsi="Calibri" w:eastAsia="Calibri" w:cs="Calibri"/>
          <w:rtl w:val="true"/>
        </w:rPr>
        <w:t>אבטח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את הנאשמים האחרים לשם החזקת הרובה הנ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מכל מקום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היה צריך לשלוט על מעשיו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אין בנמצא כל סייג לאחריות פלילית בהקשר זה הנזקף להגנתו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עלול היה להיגרם נזק נוסף מן הסיוע לעבירה העיקרית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היה וחלילה הנשק היה משמש לצרכים פליליים או אחרים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color w:val="FF0000"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>למרבה המזל תפיסתו של הנשק מנעה זאת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הסיבות שהביאו את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לביצוע הסיוע נותרו עלומות ולא הובהרו דיין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200"/>
        <w:ind w:end="-426"/>
        <w:jc w:val="both"/>
        <w:rPr/>
      </w:pPr>
      <w:r>
        <w:rPr>
          <w:rFonts w:ascii="David" w:hAnsi="David" w:eastAsia="Calibri"/>
          <w:rtl w:val="true"/>
        </w:rPr>
        <w:t>לאור המקובץ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לקבוע</w:t>
      </w:r>
      <w:r>
        <w:rPr>
          <w:rFonts w:ascii="David" w:hAnsi="David" w:eastAsia="Calibri"/>
          <w:b/>
          <w:b/>
          <w:bCs/>
          <w:rtl w:val="true"/>
        </w:rPr>
        <w:t xml:space="preserve"> מתחם ענישה בעניינו של הנאשם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אשר נע בין </w:t>
      </w:r>
      <w:r>
        <w:rPr>
          <w:rFonts w:eastAsia="Calibri" w:cs="David" w:ascii="David" w:hAnsi="David"/>
          <w:b/>
          <w:bCs/>
        </w:rPr>
        <w:t>9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לבין </w:t>
      </w:r>
      <w:r>
        <w:rPr>
          <w:rFonts w:eastAsia="Calibri" w:cs="David" w:ascii="David" w:hAnsi="David"/>
          <w:b/>
          <w:bCs/>
        </w:rPr>
        <w:t>18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 מאסר לריצוי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עונשים נלווים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יש לזקוף לזכותו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את </w:t>
      </w:r>
      <w:r>
        <w:rPr>
          <w:rFonts w:ascii="David" w:hAnsi="David" w:eastAsia="Calibri"/>
          <w:b/>
          <w:b/>
          <w:bCs/>
          <w:rtl w:val="true"/>
        </w:rPr>
        <w:t>החיסכון המשמעותי בזמן שיפוטי יקר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הנגזר מהודאתו ומנטילת האחריות שביצע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b/>
          <w:b/>
          <w:bCs/>
          <w:rtl w:val="true"/>
        </w:rPr>
        <w:t>עונש מאסר ממושך יפגע בנאשם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 xml:space="preserve">גילו יחסית צעיר </w:t>
      </w:r>
      <w:r>
        <w:rPr>
          <w:rFonts w:eastAsia="Calibri" w:cs="David" w:ascii="David" w:hAnsi="David"/>
          <w:b/>
          <w:bCs/>
          <w:rtl w:val="true"/>
        </w:rPr>
        <w:t>(½</w:t>
      </w:r>
      <w:r>
        <w:rPr>
          <w:rFonts w:eastAsia="Calibri" w:cs="David" w:ascii="David" w:hAnsi="David"/>
          <w:b/>
          <w:bCs/>
        </w:rPr>
        <w:t>21</w:t>
      </w:r>
      <w:r>
        <w:rPr>
          <w:rFonts w:eastAsia="Calibri" w:cs="David" w:ascii="David" w:hAnsi="David"/>
          <w:b/>
          <w:bCs/>
          <w:rtl w:val="true"/>
        </w:rPr>
        <w:t xml:space="preserve">) </w:t>
      </w:r>
      <w:r>
        <w:rPr>
          <w:rFonts w:ascii="David" w:hAnsi="David" w:eastAsia="Calibri"/>
          <w:b/>
          <w:b/>
          <w:bCs/>
          <w:rtl w:val="true"/>
        </w:rPr>
        <w:t>בעניינו של הנאשם לא הופק תסקיר לעניין העונש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 xml:space="preserve">במובן זה 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לא קיימת המלצה שיקומית בעניינו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הנאשם נעדר עבר פלילי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-426"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>בנוסף לאמור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התנהגותו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סברתי כי בהחלט יש מקום לשכלל בגדרי מתחם הענישה את השיקול שעניינו </w:t>
      </w:r>
      <w:r>
        <w:rPr>
          <w:rFonts w:ascii="David" w:hAnsi="David" w:eastAsia="Calibri"/>
          <w:b/>
          <w:b/>
          <w:bCs/>
          <w:rtl w:val="true"/>
        </w:rPr>
        <w:t>בהרתעת הרבים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בהתאם </w:t>
      </w:r>
      <w:hyperlink r:id="rId40">
        <w:r>
          <w:rPr>
            <w:rStyle w:val="Hyperlink"/>
            <w:rFonts w:ascii="David" w:hAnsi="David" w:eastAsia="Calibri"/>
            <w:color w:val="0000FF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Calibri"/>
            <w:color w:val="0000FF"/>
            <w:rtl w:val="true"/>
          </w:rPr>
          <w:t>ז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>);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תוך העברת מסר לציבור הרחב שגם סיוע להתנהגות דומה ומסוכנת שכזו אינה מקובלת במחוזותינו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לאחר ששקלתי את כל השיקולים הדרושים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לנכון להטיל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overflowPunct w:val="false"/>
        <w:autoSpaceDE w:val="false"/>
        <w:spacing w:lineRule="auto" w:line="360" w:before="0" w:after="200"/>
        <w:ind w:hanging="360" w:start="1543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בפועל מיום מעצרו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200"/>
        <w:ind w:hanging="360" w:start="154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עבירות 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הנשק  והאביזרים יושמדו  לאחר שגזר דינם של כל הנאשמים בפרשה זו יהפוך לחלוט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זכות ערעור כחוק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</w:r>
    </w:p>
    <w:tbl>
      <w:tblPr>
        <w:tblpPr w:vertAnchor="text" w:horzAnchor="margin" w:tblpXSpec="left" w:rightFromText="180" w:tblpY="220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38624-05-24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שאהין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543" w:hanging="36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543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.3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g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8384637" TargetMode="External"/><Relationship Id="rId18" Type="http://schemas.openxmlformats.org/officeDocument/2006/relationships/hyperlink" Target="http://www.nevo.co.il/case/25824863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case/21771409" TargetMode="External"/><Relationship Id="rId21" Type="http://schemas.openxmlformats.org/officeDocument/2006/relationships/hyperlink" Target="http://www.nevo.co.il/case/22690203" TargetMode="External"/><Relationship Id="rId22" Type="http://schemas.openxmlformats.org/officeDocument/2006/relationships/hyperlink" Target="http://www.nevo.co.il/case/29903642" TargetMode="External"/><Relationship Id="rId23" Type="http://schemas.openxmlformats.org/officeDocument/2006/relationships/hyperlink" Target="http://www.nevo.co.il/case/27510949" TargetMode="External"/><Relationship Id="rId24" Type="http://schemas.openxmlformats.org/officeDocument/2006/relationships/hyperlink" Target="http://www.nevo.co.il/case/28400048" TargetMode="External"/><Relationship Id="rId25" Type="http://schemas.openxmlformats.org/officeDocument/2006/relationships/hyperlink" Target="http://www.nevo.co.il/case/25890687" TargetMode="External"/><Relationship Id="rId26" Type="http://schemas.openxmlformats.org/officeDocument/2006/relationships/hyperlink" Target="http://www.nevo.co.il/case/20531134" TargetMode="External"/><Relationship Id="rId27" Type="http://schemas.openxmlformats.org/officeDocument/2006/relationships/hyperlink" Target="http://www.nevo.co.il/case/27502726" TargetMode="External"/><Relationship Id="rId28" Type="http://schemas.openxmlformats.org/officeDocument/2006/relationships/hyperlink" Target="http://www.nevo.co.il/law/70301/144.g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/40g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/3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2.3" TargetMode="External"/><Relationship Id="rId39" Type="http://schemas.openxmlformats.org/officeDocument/2006/relationships/hyperlink" Target="http://www.nevo.co.il/law/70301/40i" TargetMode="External"/><Relationship Id="rId40" Type="http://schemas.openxmlformats.org/officeDocument/2006/relationships/hyperlink" Target="http://www.nevo.co.il/law/70301/40g" TargetMode="External"/><Relationship Id="rId41" Type="http://schemas.openxmlformats.org/officeDocument/2006/relationships/hyperlink" Target="http://www.nevo.co.il/law/70301/144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2024-09-11T09:18:00Z</dcterms:created>
  <dc:creator> </dc:creator>
  <dc:description/>
  <cp:keywords/>
  <dc:language>en-IL</dc:language>
  <cp:lastModifiedBy>h1</cp:lastModifiedBy>
  <dcterms:modified xsi:type="dcterms:W3CDTF">2024-09-11T09:18:00Z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שאהין;מוחמד שאהין;סאבר חיג'אזי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28384637;25824863:2;21771409;22690203;29903642;27510949;28400048;25890687;20531134;27502726</vt:lpwstr>
  </property>
  <property fmtid="{D5CDD505-2E9C-101B-9397-08002B2CF9AE}" pid="9" name="CITY">
    <vt:lpwstr>חי'</vt:lpwstr>
  </property>
  <property fmtid="{D5CDD505-2E9C-101B-9397-08002B2CF9AE}" pid="10" name="DATE">
    <vt:lpwstr>20240908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70301/144.a:4;029;031:2;144.g;040i:2;040g:2;144:2;032.3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38624</vt:lpwstr>
  </property>
  <property fmtid="{D5CDD505-2E9C-101B-9397-08002B2CF9AE}" pid="22" name="NEWPARTB">
    <vt:lpwstr>05</vt:lpwstr>
  </property>
  <property fmtid="{D5CDD505-2E9C-101B-9397-08002B2CF9AE}" pid="23" name="NEWPARTC">
    <vt:lpwstr>24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390020240908</vt:lpwstr>
  </property>
  <property fmtid="{D5CDD505-2E9C-101B-9397-08002B2CF9AE}" pid="34" name="TYPE_N_DATE">
    <vt:lpwstr>39020240908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