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3877-07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המשרד להגנת הסביבה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עיריית הרצליה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השופטת  דורית רייך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שפירא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  <w:bookmarkStart w:id="2" w:name="FirstLawyer"/>
            <w:bookmarkStart w:id="3" w:name="FirstLawyer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המשרד להגנת הסביבה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ישי שריד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עיריית הרצליה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דיויד סקוט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נמחק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יעקב פררו – נמחק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יחיאל שמיר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ישי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שריד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 המשרד להגנת הסביבה ת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א</w:t>
      </w:r>
      <w:r>
        <w:rPr>
          <w:b w:val="false"/>
          <w:bCs w:val="false"/>
          <w:u w:val="none"/>
          <w:rtl w:val="true"/>
        </w:rPr>
        <w:t xml:space="preserve">, 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וייסנברג  בשם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יחיאל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שמיר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  <w:r>
        <w:rPr>
          <w:b w:val="false"/>
          <w:bCs w:val="false"/>
          <w:u w:val="none"/>
          <w:rtl w:val="true"/>
        </w:rPr>
        <w:t xml:space="preserve">,   </w:t>
      </w:r>
      <w:bookmarkStart w:id="6" w:name="LawTable"/>
      <w:bookmarkEnd w:id="6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המים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1959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כא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כב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מניעת זיהום הים ממקורות יבשתיים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1988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11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רישוי עסקים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1968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7" w:name="LawTable_End"/>
      <w:bookmarkStart w:id="8" w:name="LawTable_End"/>
      <w:bookmarkEnd w:id="8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גזר </w:t>
            </w:r>
            <w:r>
              <w:rPr>
                <w:rFonts w:cs="Arial" w:ascii="Arial" w:hAnsi="Arial"/>
                <w:b/>
                <w:bCs/>
                <w:sz w:val="36"/>
                <w:szCs w:val="3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8"/>
                <w:szCs w:val="38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38"/>
                <w:szCs w:val="38"/>
                <w:rtl w:val="true"/>
                <w:lang w:val="en-IL" w:eastAsia="en-IL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highlight w:val="yellow"/>
          <w:lang w:val="en-IL" w:eastAsia="en-IL"/>
        </w:rPr>
      </w:pPr>
      <w:r>
        <w:rPr>
          <w:rFonts w:cs="Arial" w:ascii="Arial" w:hAnsi="Arial"/>
          <w:b/>
          <w:bCs/>
          <w:sz w:val="26"/>
          <w:szCs w:val="26"/>
          <w:highlight w:val="yellow"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highlight w:val="yellow"/>
          <w:lang w:val="en-IL" w:eastAsia="en-IL"/>
        </w:rPr>
      </w:pPr>
      <w:r>
        <w:rPr>
          <w:rFonts w:cs="Arial" w:ascii="Arial" w:hAnsi="Arial"/>
          <w:b/>
          <w:bCs/>
          <w:sz w:val="26"/>
          <w:szCs w:val="26"/>
          <w:highlight w:val="yellow"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כתב האישום ותשובת הנאשמים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את כתב האישום שלפני הגיש נציג המשרד להגנת הסביבה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15.05.07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בכתב האישום מיוחסות לעיריית הרצליה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העירייה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הנאשמת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לדויד סקוט מהנדס העירייה בזמן הרלבנטי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המהנדס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וליעקב פררו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מנהל מחלקת הביוב והניקוז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פררו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עבירות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20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Arial" w:ascii="Arial" w:hAnsi="Arial"/>
            <w:color w:val="0000FF"/>
            <w:u w:val="single"/>
          </w:rPr>
          <w:t>20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Arial" w:ascii="Arial" w:hAnsi="Arial"/>
            <w:color w:val="0000FF"/>
            <w:u w:val="single"/>
          </w:rPr>
          <w:t>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כא 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20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כב</w:t>
        </w:r>
      </w:hyperlink>
      <w:r>
        <w:rPr>
          <w:rFonts w:ascii="Arial" w:hAnsi="Arial" w:cs="Arial"/>
          <w:rtl w:val="true"/>
        </w:rPr>
        <w:t xml:space="preserve"> ל</w:t>
      </w:r>
      <w:hyperlink r:id="rId13">
        <w:r>
          <w:rPr>
            <w:rStyle w:val="Hyperlink"/>
            <w:rFonts w:ascii="Arial" w:hAnsi="Arial" w:cs="Arial"/>
            <w:rtl w:val="true"/>
          </w:rPr>
          <w:t>חוק המים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1959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המים</w:t>
      </w:r>
      <w:r>
        <w:rPr>
          <w:rFonts w:cs="Arial" w:ascii="Arial" w:hAnsi="Arial"/>
          <w:rtl w:val="true"/>
        </w:rPr>
        <w:t xml:space="preserve">") </w:t>
      </w:r>
      <w:hyperlink r:id="rId14">
        <w:r>
          <w:rPr>
            <w:rStyle w:val="Hyperlink"/>
            <w:rFonts w:ascii="Arial" w:hAnsi="Arial" w:cs="Arial"/>
            <w:rtl w:val="true"/>
          </w:rPr>
          <w:t>וסעיפים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 xml:space="preserve">- 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rtl w:val="true"/>
          </w:rPr>
          <w:t>חוק מניעת זיהום הים ממקורות יבשתיים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1988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זיהום הים ממקורות יבשתייים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>לטענת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עברו את העבירות בנסיבות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המשרד להגנת הסביבה העניק לעירייה היתר להזרמת שפכים ממקור יבשתי לים שמספרו </w:t>
      </w:r>
      <w:r>
        <w:rPr>
          <w:rFonts w:cs="Arial" w:ascii="Arial" w:hAnsi="Arial"/>
        </w:rPr>
        <w:t>34/2002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היתר ההזרמה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4.02.02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העניקה העירייה לחברת סלקום ישראל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סלקום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היתר לביצוע קידוח אופקי בתחומה המוניציפאלי של העיר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היתר הקידוח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שתוקפו הוארך מפעם לפעם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8.07.03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צד שלישי עבודות קידוח עבור סלקום בקטע הרחובות סדנאות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משכית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באזור התעשייה של העיר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מקום האירוע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תוך כדי כך נפגע קו שהוביל מי קולחים ממכון טיהור השפכים 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הקו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קרות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יידעו מבצעי הקידוח את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הפגיעה ועל זרימת שפכים לרחוב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בדעה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שהקו שנפגע איננו פעיל ורק לאחר יומיים הורה להפסיק את השימוש בקו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העיריה העניקה לסלקום את היתר הקידוח מבלי שהבטיחה מראש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שעבודות הקידוח תבוצענה בהתאם להיתר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פגיעה בצנרת תת קרקעית קיימת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מבלי להבטיח שהקו לא ייפגע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אחראים להזרמת מי קולחים לים בניגוד להיתר ההזרמה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כתוצאה מההזרמה זוהמו חופי הרחצה  ומי 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השימוש בהם נאסר מה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15.07.03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17.07.03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rtl w:val="true"/>
        </w:rPr>
        <w:t>תשובת הנאשמים – הנאשמים</w:t>
      </w:r>
      <w:r>
        <w:rPr>
          <w:rtl w:val="true"/>
        </w:rPr>
        <w:t xml:space="preserve"> באמצעות ב</w:t>
      </w:r>
      <w:r>
        <w:rPr>
          <w:rtl w:val="true"/>
        </w:rPr>
        <w:t>"</w:t>
      </w:r>
      <w:r>
        <w:rPr>
          <w:rtl w:val="true"/>
        </w:rPr>
        <w:t>כ עו</w:t>
      </w:r>
      <w:r>
        <w:rPr>
          <w:rtl w:val="true"/>
        </w:rPr>
        <w:t>"</w:t>
      </w:r>
      <w:r>
        <w:rPr>
          <w:rtl w:val="true"/>
        </w:rPr>
        <w:t>ד י</w:t>
      </w:r>
      <w:r>
        <w:rPr>
          <w:rtl w:val="true"/>
        </w:rPr>
        <w:t>.</w:t>
      </w:r>
      <w:r>
        <w:rPr>
          <w:rtl w:val="true"/>
        </w:rPr>
        <w:t xml:space="preserve">שמיר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הסנגור</w:t>
      </w:r>
      <w:r>
        <w:rPr>
          <w:rtl w:val="true"/>
        </w:rPr>
        <w:t xml:space="preserve">") </w:t>
      </w:r>
      <w:r>
        <w:rPr>
          <w:rtl w:val="true"/>
        </w:rPr>
        <w:t>כפרו בעובדות כתב האישום שיש בהן לבסס עבירה ונקבעו מועדים לשמיעת ראיות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highlight w:val="yellow"/>
          <w:rtl w:val="true"/>
        </w:rPr>
        <w:t>ב</w:t>
      </w:r>
      <w:r>
        <w:rPr>
          <w:b/>
          <w:bCs/>
          <w:highlight w:val="yellow"/>
          <w:rtl w:val="true"/>
        </w:rPr>
        <w:t xml:space="preserve">. </w:t>
      </w:r>
      <w:r>
        <w:rPr>
          <w:b/>
          <w:b/>
          <w:bCs/>
          <w:highlight w:val="yellow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לאחר פרשת התביעה ועדותו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באמצע חקירתו הנגדית של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הודיעו ב</w:t>
      </w:r>
      <w:r>
        <w:rPr>
          <w:rtl w:val="true"/>
        </w:rPr>
        <w:t>"</w:t>
      </w:r>
      <w:r>
        <w:rPr>
          <w:rtl w:val="true"/>
        </w:rPr>
        <w:t>כ הצדדים על להסדר טיעון אליו הגיעו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ההסדר</w:t>
      </w:r>
      <w:r>
        <w:rPr>
          <w:rtl w:val="true"/>
        </w:rPr>
        <w:t xml:space="preserve">, </w:t>
      </w:r>
      <w:r>
        <w:rPr>
          <w:rtl w:val="true"/>
        </w:rPr>
        <w:t>שלושת הנאשמים חזרו מהכפירה</w:t>
      </w:r>
      <w:r>
        <w:rPr>
          <w:rtl w:val="true"/>
        </w:rPr>
        <w:t xml:space="preserve">. </w:t>
      </w:r>
      <w:r>
        <w:rPr>
          <w:rtl w:val="true"/>
        </w:rPr>
        <w:t>התובע מחק ברשות ביהמ</w:t>
      </w:r>
      <w:r>
        <w:rPr>
          <w:rtl w:val="true"/>
        </w:rPr>
        <w:t>"</w:t>
      </w:r>
      <w:r>
        <w:rPr>
          <w:rtl w:val="true"/>
        </w:rPr>
        <w:t xml:space="preserve">ש את כתב האישום ככל שהתייחס לנאשמים 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ואילו העירייה</w:t>
      </w:r>
      <w:r>
        <w:rPr>
          <w:rtl w:val="true"/>
        </w:rPr>
        <w:t xml:space="preserve">, </w:t>
      </w:r>
      <w:r>
        <w:rPr>
          <w:rtl w:val="true"/>
        </w:rPr>
        <w:t xml:space="preserve">נאשמת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הודתה בעובדות כתב האישום והורשעה בהתאם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לא כלל הסכמות 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highlight w:val="yellow"/>
          <w:rtl w:val="true"/>
        </w:rPr>
        <w:t>ג</w:t>
      </w:r>
      <w:r>
        <w:rPr>
          <w:b/>
          <w:bCs/>
          <w:highlight w:val="yellow"/>
          <w:rtl w:val="true"/>
        </w:rPr>
        <w:t xml:space="preserve">. </w:t>
      </w:r>
      <w:r>
        <w:rPr>
          <w:b/>
          <w:b/>
          <w:bCs/>
          <w:highlight w:val="yellow"/>
          <w:rtl w:val="true"/>
        </w:rPr>
        <w:t>הטיעונים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י</w:t>
      </w:r>
      <w:r>
        <w:rPr>
          <w:rtl w:val="true"/>
        </w:rPr>
        <w:t xml:space="preserve">. </w:t>
      </w:r>
      <w:r>
        <w:rPr>
          <w:rtl w:val="true"/>
        </w:rPr>
        <w:t>שריד</w:t>
      </w:r>
      <w:r>
        <w:rPr>
          <w:rtl w:val="true"/>
        </w:rPr>
        <w:t xml:space="preserve">, </w:t>
      </w:r>
      <w:r>
        <w:rPr>
          <w:rtl w:val="true"/>
        </w:rPr>
        <w:t>הגיש בפתח טיעוניו לעונש שתי הרשעותיה הקודמות של הנאשמת</w:t>
      </w:r>
      <w:r>
        <w:rPr>
          <w:rtl w:val="true"/>
        </w:rPr>
        <w:t xml:space="preserve">, 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+ 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ונדרש לחומרת העבירות נשוא ההרשעה</w:t>
      </w:r>
      <w:r>
        <w:rPr>
          <w:rtl w:val="true"/>
        </w:rPr>
        <w:t xml:space="preserve">, </w:t>
      </w:r>
      <w:r>
        <w:rPr>
          <w:rtl w:val="true"/>
        </w:rPr>
        <w:t>תוך הפנייה לראיות שהוצגו במהלך המשפט</w:t>
      </w:r>
      <w:r>
        <w:rPr>
          <w:rtl w:val="true"/>
        </w:rPr>
        <w:t xml:space="preserve">. </w:t>
      </w:r>
      <w:r>
        <w:rPr>
          <w:rtl w:val="true"/>
        </w:rPr>
        <w:t>הוא  הדגיש את הפגיעה החמורה שהעבירות פגעו ברווחת הציבור  משום שחייבו סגירתם של מספר חופים לשלושה ימים וזאת בחופשת הקיץ</w:t>
      </w:r>
      <w:r>
        <w:rPr>
          <w:rtl w:val="true"/>
        </w:rPr>
        <w:t xml:space="preserve">, </w:t>
      </w:r>
      <w:r>
        <w:rPr>
          <w:rtl w:val="true"/>
        </w:rPr>
        <w:t>כשעונת הרחצה בשיאה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 התובע</w:t>
      </w:r>
      <w:r>
        <w:rPr>
          <w:rtl w:val="true"/>
        </w:rPr>
        <w:t xml:space="preserve">, </w:t>
      </w:r>
      <w:r>
        <w:rPr>
          <w:rtl w:val="true"/>
        </w:rPr>
        <w:t>לפגיעה בקו שהובילה להזרמת הקולחים לים</w:t>
      </w:r>
      <w:r>
        <w:rPr>
          <w:rtl w:val="true"/>
        </w:rPr>
        <w:t xml:space="preserve">, </w:t>
      </w:r>
      <w:r>
        <w:rPr>
          <w:rtl w:val="true"/>
        </w:rPr>
        <w:t>קדמו מחדלי העירייה</w:t>
      </w:r>
      <w:r>
        <w:rPr>
          <w:rtl w:val="true"/>
        </w:rPr>
        <w:t xml:space="preserve">, </w:t>
      </w:r>
      <w:r>
        <w:rPr>
          <w:rtl w:val="true"/>
        </w:rPr>
        <w:t>אשר העניקה היתר קידוח מבלי לדאוג לתיאום וארגון</w:t>
      </w:r>
      <w:r>
        <w:rPr>
          <w:rtl w:val="true"/>
        </w:rPr>
        <w:t xml:space="preserve">, </w:t>
      </w:r>
      <w:r>
        <w:rPr>
          <w:rtl w:val="true"/>
        </w:rPr>
        <w:t>שהיו נחוצים לנוכח העדר מיפוי מעודכן של הצנרת התת קרקעית</w:t>
      </w:r>
      <w:r>
        <w:rPr>
          <w:rtl w:val="true"/>
        </w:rPr>
        <w:t xml:space="preserve">. </w:t>
      </w:r>
      <w:r>
        <w:rPr>
          <w:rtl w:val="true"/>
        </w:rPr>
        <w:t>במפה לפיה הותר ביצוע העבודות</w:t>
      </w:r>
      <w:r>
        <w:rPr>
          <w:rtl w:val="true"/>
        </w:rPr>
        <w:t xml:space="preserve">, </w:t>
      </w:r>
      <w:r>
        <w:rPr>
          <w:rtl w:val="true"/>
        </w:rPr>
        <w:t>הקו הפגוע לא הופיע כלל</w:t>
      </w:r>
      <w:r>
        <w:rPr>
          <w:rtl w:val="true"/>
        </w:rPr>
        <w:t xml:space="preserve">. </w:t>
      </w:r>
      <w:r>
        <w:rPr>
          <w:rtl w:val="true"/>
        </w:rPr>
        <w:t>מצב זה הוא בגדר שערוריה של ממש</w:t>
      </w:r>
      <w:r>
        <w:rPr>
          <w:rtl w:val="true"/>
        </w:rPr>
        <w:t xml:space="preserve">, </w:t>
      </w:r>
      <w:r>
        <w:rPr>
          <w:rtl w:val="true"/>
        </w:rPr>
        <w:t>שכן הוא מוכיח שהעיריה לא הייתה מודעת לקיומו של קו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 הפנה לעונש המקסימאלי שביהמ</w:t>
      </w:r>
      <w:r>
        <w:rPr>
          <w:rtl w:val="true"/>
        </w:rPr>
        <w:t>"</w:t>
      </w:r>
      <w:r>
        <w:rPr>
          <w:rtl w:val="true"/>
        </w:rPr>
        <w:t xml:space="preserve">ש מוסמך להשית על הנאשמת העומד על </w:t>
      </w:r>
      <w:r>
        <w:rPr/>
        <w:t>540,000₪</w:t>
      </w:r>
      <w:r>
        <w:rPr>
          <w:rtl w:val="true"/>
        </w:rPr>
        <w:t xml:space="preserve">. </w:t>
      </w:r>
      <w:r>
        <w:rPr>
          <w:rtl w:val="true"/>
        </w:rPr>
        <w:t>בהתחשב בחומרת מעשיה ו</w:t>
      </w:r>
      <w:r>
        <w:rPr>
          <w:rtl w:val="true"/>
        </w:rPr>
        <w:t>/</w:t>
      </w:r>
      <w:r>
        <w:rPr>
          <w:rtl w:val="true"/>
        </w:rPr>
        <w:t>או מחדליה של הנאשמת</w:t>
      </w:r>
      <w:r>
        <w:rPr>
          <w:rtl w:val="true"/>
        </w:rPr>
        <w:t xml:space="preserve">, </w:t>
      </w:r>
      <w:r>
        <w:rPr>
          <w:rtl w:val="true"/>
        </w:rPr>
        <w:t>המקבלים משנה חומרה לנוכח הרשעותיה הקודמות</w:t>
      </w:r>
      <w:r>
        <w:rPr>
          <w:rtl w:val="true"/>
        </w:rPr>
        <w:t xml:space="preserve">, </w:t>
      </w:r>
      <w:r>
        <w:rPr>
          <w:rtl w:val="true"/>
        </w:rPr>
        <w:t xml:space="preserve">ביקש לגזור על הנאשמת </w:t>
      </w:r>
      <w:r>
        <w:rPr/>
        <w:t>500,000₪</w:t>
      </w:r>
      <w:r>
        <w:rPr>
          <w:rtl w:val="true"/>
        </w:rPr>
        <w:t xml:space="preserve">, </w:t>
      </w:r>
      <w:r>
        <w:rPr>
          <w:rtl w:val="true"/>
        </w:rPr>
        <w:t>הגם  שבאופן מעשי הכסף  ישולם מכספי הציבור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אין בעובדה זו להניא את ביהמ</w:t>
      </w:r>
      <w:r>
        <w:rPr>
          <w:rtl w:val="true"/>
        </w:rPr>
        <w:t>"</w:t>
      </w:r>
      <w:r>
        <w:rPr>
          <w:rtl w:val="true"/>
        </w:rPr>
        <w:t>ש מלגזור ענישה כספית מחמירה על העירייה שהיא רשות ציבורית אשר ביצעה עבירות</w:t>
      </w:r>
      <w:r>
        <w:rPr>
          <w:rtl w:val="true"/>
        </w:rPr>
        <w:t xml:space="preserve">. </w:t>
      </w:r>
      <w:r>
        <w:rPr>
          <w:rtl w:val="true"/>
        </w:rPr>
        <w:t>יש צורך בענישה מחמירה</w:t>
      </w:r>
      <w:r>
        <w:rPr>
          <w:rtl w:val="true"/>
        </w:rPr>
        <w:t xml:space="preserve">, </w:t>
      </w:r>
      <w:r>
        <w:rPr>
          <w:rtl w:val="true"/>
        </w:rPr>
        <w:t>שתרתיעה את הנאשמת</w:t>
      </w:r>
      <w:r>
        <w:rPr>
          <w:rtl w:val="true"/>
        </w:rPr>
        <w:t xml:space="preserve">. </w:t>
      </w:r>
      <w:r>
        <w:rPr>
          <w:rtl w:val="true"/>
        </w:rPr>
        <w:t>מה עוד שהקנס ישולם לקרן לשמירת ניקיון הים והכסף ינוצל למטרות חיוביות</w:t>
      </w:r>
      <w:r>
        <w:rPr>
          <w:rtl w:val="true"/>
        </w:rPr>
        <w:t xml:space="preserve">. </w:t>
      </w:r>
      <w:r>
        <w:rPr>
          <w:rtl w:val="true"/>
        </w:rPr>
        <w:t>בנוסף לקנס ביקש התובע לחייב את הנאשמת לחתום על התחייבות בסכומים משמעותיים</w:t>
      </w:r>
      <w:r>
        <w:rPr>
          <w:rtl w:val="true"/>
        </w:rPr>
        <w:t xml:space="preserve">, </w:t>
      </w:r>
      <w:r>
        <w:rPr>
          <w:rtl w:val="true"/>
        </w:rPr>
        <w:t xml:space="preserve">תוך התחשבות בהבנות אליהן הגיע עם הסנגור ולפיהן ההתחייבוות לפי </w:t>
      </w:r>
      <w:hyperlink r:id="rId16">
        <w:r>
          <w:rPr>
            <w:rStyle w:val="Hyperlink"/>
            <w:rtl w:val="true"/>
          </w:rPr>
          <w:t>חוק המים</w:t>
        </w:r>
      </w:hyperlink>
      <w:r>
        <w:rPr>
          <w:rtl w:val="true"/>
        </w:rPr>
        <w:t xml:space="preserve"> תהא נמוכה מההתחייבות ביחס לעבירה של זיהום 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לתמיכה בטיעוניו הגיש התובע מספר גזרי</w:t>
      </w:r>
      <w:r>
        <w:rPr>
          <w:rtl w:val="true"/>
        </w:rPr>
        <w:t>-</w:t>
      </w:r>
      <w:r>
        <w:rPr>
          <w:rtl w:val="true"/>
        </w:rPr>
        <w:t>דין שיצאו מבתי משפט שונים בגין עבירות 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נדרש גם הוא לעבירות נשוא ההרשעה ולנסיבות ביצוען</w:t>
      </w:r>
      <w:r>
        <w:rPr>
          <w:rtl w:val="true"/>
        </w:rPr>
        <w:t xml:space="preserve">, </w:t>
      </w:r>
      <w:r>
        <w:rPr>
          <w:rtl w:val="true"/>
        </w:rPr>
        <w:t>תוך התייחסות לחומר הראיות שהוצג במהלך המשפט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ראוי ליתן משקל מיוחד לנסיבות לקולא</w:t>
      </w:r>
      <w:r>
        <w:rPr>
          <w:rtl w:val="true"/>
        </w:rPr>
        <w:t xml:space="preserve">, </w:t>
      </w:r>
      <w:r>
        <w:rPr>
          <w:rtl w:val="true"/>
        </w:rPr>
        <w:t>המצדיקות הענשת העירייה בקנס נמוך ואפילו סמלי</w:t>
      </w:r>
      <w:r>
        <w:rPr>
          <w:rtl w:val="true"/>
        </w:rPr>
        <w:t xml:space="preserve">. </w:t>
      </w:r>
      <w:r>
        <w:rPr>
          <w:rtl w:val="true"/>
        </w:rPr>
        <w:t>לדעת הסנגור</w:t>
      </w:r>
      <w:r>
        <w:rPr>
          <w:rtl w:val="true"/>
        </w:rPr>
        <w:t xml:space="preserve">, </w:t>
      </w:r>
      <w:r>
        <w:rPr>
          <w:rtl w:val="true"/>
        </w:rPr>
        <w:t>העבירות הן תוצר לוואי של תקלה שהעירייה לא אשמה בקרותה</w:t>
      </w:r>
      <w:r>
        <w:rPr>
          <w:rtl w:val="true"/>
        </w:rPr>
        <w:t xml:space="preserve">, </w:t>
      </w:r>
      <w:r>
        <w:rPr>
          <w:rtl w:val="true"/>
        </w:rPr>
        <w:t>כשהיא מצידה עשתה לתיקון התקלה בזריזות וביעילות מקסימאליים</w:t>
      </w:r>
      <w:r>
        <w:rPr>
          <w:rtl w:val="true"/>
        </w:rPr>
        <w:t xml:space="preserve">, </w:t>
      </w:r>
      <w:r>
        <w:rPr>
          <w:rtl w:val="true"/>
        </w:rPr>
        <w:t>כך שמשך ההזרמה היה קצר והצטמצם למספר שעות בלבד</w:t>
      </w:r>
      <w:r>
        <w:rPr>
          <w:rtl w:val="true"/>
        </w:rPr>
        <w:t xml:space="preserve">. </w:t>
      </w:r>
      <w:r>
        <w:rPr>
          <w:rtl w:val="true"/>
        </w:rPr>
        <w:t>הסנגור הדגיש שלא עמד אינטרס כלכלי בבסיס ביצוע העבירות</w:t>
      </w:r>
      <w:r>
        <w:rPr>
          <w:rtl w:val="true"/>
        </w:rPr>
        <w:t xml:space="preserve">, </w:t>
      </w:r>
      <w:r>
        <w:rPr>
          <w:rtl w:val="true"/>
        </w:rPr>
        <w:t>אדרבא העירייה השקיעה כחצי מיליון ₪ לתיקון התקלה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ביקש לקבל שהעירייה מקפידה על שמירה על איכות הסביבה ולמרות שהחוק לא מחייב הענקת היתר לקידוח</w:t>
      </w:r>
      <w:r>
        <w:rPr>
          <w:rtl w:val="true"/>
        </w:rPr>
        <w:t xml:space="preserve">, </w:t>
      </w:r>
      <w:r>
        <w:rPr>
          <w:rtl w:val="true"/>
        </w:rPr>
        <w:t>העירייה מיוזמתה הוולונטארית נוהגת כדבר שבשגרה להתיר ביצוע עבודות רק לאחר תיאום וקבלת היתר</w:t>
      </w:r>
      <w:r>
        <w:rPr>
          <w:rtl w:val="true"/>
        </w:rPr>
        <w:t xml:space="preserve">.  </w:t>
      </w:r>
      <w:r>
        <w:rPr>
          <w:rtl w:val="true"/>
        </w:rPr>
        <w:t>במקרה זה סלקום התעלמה מהמידע שקיבלה</w:t>
      </w:r>
      <w:r>
        <w:rPr>
          <w:rtl w:val="true"/>
        </w:rPr>
        <w:t xml:space="preserve">, </w:t>
      </w:r>
      <w:r>
        <w:rPr>
          <w:rtl w:val="true"/>
        </w:rPr>
        <w:t>הפרה את תנאי ההיתר וביצעה קידוח פרבולי במקום קידוח אופקי</w:t>
      </w:r>
      <w:r>
        <w:rPr>
          <w:rtl w:val="true"/>
        </w:rPr>
        <w:t xml:space="preserve">. </w:t>
      </w:r>
      <w:r>
        <w:rPr>
          <w:rtl w:val="true"/>
        </w:rPr>
        <w:t>בעקבות האירוע העירייה ערכה תחקיר והחמירה את דרישות התיאום שהיא דורשת מהקבלנים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לא חולק על כך שאין בידי העירייה מיפוי מדויק המשקף את כל הצנרת התת קרקעית</w:t>
      </w:r>
      <w:r>
        <w:rPr>
          <w:rtl w:val="true"/>
        </w:rPr>
        <w:t xml:space="preserve">. </w:t>
      </w:r>
      <w:r>
        <w:rPr>
          <w:rtl w:val="true"/>
        </w:rPr>
        <w:t>יחד עם זאת העירייה היתה מודעת לקיומו של הקו שנפגע</w:t>
      </w:r>
      <w:r>
        <w:rPr>
          <w:rtl w:val="true"/>
        </w:rPr>
        <w:t xml:space="preserve">, </w:t>
      </w:r>
      <w:r>
        <w:rPr>
          <w:rtl w:val="true"/>
        </w:rPr>
        <w:t>כעולה מהמפה 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מעבר לכך ביקש ליתן משקל לקולא לעובדה שהעירייה נמצאת בעיצומו של פרויקט  מיפוי ממוחשב שעלותו מיליונים 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הדגיש הסנגור את שיתוף הפעולה בין העירייה למשרד להגנת הסביבה במהלך האירוע וגם לאחר קרותו</w:t>
      </w:r>
      <w:r>
        <w:rPr>
          <w:rtl w:val="true"/>
        </w:rPr>
        <w:t xml:space="preserve">. </w:t>
      </w:r>
      <w:r>
        <w:rPr>
          <w:rtl w:val="true"/>
        </w:rPr>
        <w:t>למרות שרק שר הפנים מוסמך להורות על סגירת חופי רחצה</w:t>
      </w:r>
      <w:r>
        <w:rPr>
          <w:rtl w:val="true"/>
        </w:rPr>
        <w:t xml:space="preserve">, </w:t>
      </w:r>
      <w:r>
        <w:rPr>
          <w:rtl w:val="true"/>
        </w:rPr>
        <w:t>העירייה מיוזמתה ולאחר התייעצות עם משרד הבריאות הורתה על סגירת החופים כדי לשמור על בריאות הציבור</w:t>
      </w:r>
      <w:r>
        <w:rPr>
          <w:rtl w:val="true"/>
        </w:rPr>
        <w:t xml:space="preserve">. </w:t>
      </w:r>
      <w:r>
        <w:rPr>
          <w:rtl w:val="true"/>
        </w:rPr>
        <w:t>לדעת הסנגור</w:t>
      </w:r>
      <w:r>
        <w:rPr>
          <w:rtl w:val="true"/>
        </w:rPr>
        <w:t xml:space="preserve">, </w:t>
      </w:r>
      <w:r>
        <w:rPr>
          <w:rtl w:val="true"/>
        </w:rPr>
        <w:t>אין להכביד בקנס</w:t>
      </w:r>
      <w:r>
        <w:rPr>
          <w:rtl w:val="true"/>
        </w:rPr>
        <w:t xml:space="preserve">, </w:t>
      </w:r>
      <w:r>
        <w:rPr>
          <w:rtl w:val="true"/>
        </w:rPr>
        <w:t>שכן ההזרמה נמשכה שעות ספורות בלבד</w:t>
      </w:r>
      <w:r>
        <w:rPr>
          <w:rtl w:val="true"/>
        </w:rPr>
        <w:t xml:space="preserve">, </w:t>
      </w:r>
      <w:r>
        <w:rPr>
          <w:rtl w:val="true"/>
        </w:rPr>
        <w:t>במהלך הפעילות לתיקון המפגע שנעשתה במהירות ויעילות מקסימליים</w:t>
      </w:r>
      <w:r>
        <w:rPr>
          <w:rtl w:val="true"/>
        </w:rPr>
        <w:t xml:space="preserve">, </w:t>
      </w:r>
      <w:r>
        <w:rPr>
          <w:rtl w:val="true"/>
        </w:rPr>
        <w:t>תוך השקעת כחצי מליון שקל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אבחן בין נסיבות המקרה לנסיבות שנדונו בתקדימים אשר הציג התובע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ברוב התקדימים הוטלו עונשים בגין הזרמת ביוב גולמי לים ולא מי קולחין</w:t>
      </w:r>
      <w:r>
        <w:rPr>
          <w:rtl w:val="true"/>
        </w:rPr>
        <w:t xml:space="preserve">, </w:t>
      </w:r>
      <w:r>
        <w:rPr>
          <w:rtl w:val="true"/>
        </w:rPr>
        <w:t>המשמשים להשקיית גידולים חקלאיים</w:t>
      </w:r>
      <w:r>
        <w:rPr>
          <w:rtl w:val="true"/>
        </w:rPr>
        <w:t xml:space="preserve">. </w:t>
      </w:r>
      <w:r>
        <w:rPr>
          <w:rtl w:val="true"/>
        </w:rPr>
        <w:t>מה עוד</w:t>
      </w:r>
      <w:r>
        <w:rPr>
          <w:rtl w:val="true"/>
        </w:rPr>
        <w:t xml:space="preserve">, </w:t>
      </w:r>
      <w:r>
        <w:rPr>
          <w:rtl w:val="true"/>
        </w:rPr>
        <w:t>שבמקרה שבדיון</w:t>
      </w:r>
      <w:r>
        <w:rPr>
          <w:rtl w:val="true"/>
        </w:rPr>
        <w:t xml:space="preserve">, </w:t>
      </w:r>
      <w:r>
        <w:rPr>
          <w:rtl w:val="true"/>
        </w:rPr>
        <w:t>להבדיל מהמקרים שבתקדימים</w:t>
      </w:r>
      <w:r>
        <w:rPr>
          <w:rtl w:val="true"/>
        </w:rPr>
        <w:t xml:space="preserve">, </w:t>
      </w:r>
      <w:r>
        <w:rPr>
          <w:rtl w:val="true"/>
        </w:rPr>
        <w:t>העבירה לא בוצעה לקידום מטרות כלכליות</w:t>
      </w:r>
      <w:r>
        <w:rPr>
          <w:rtl w:val="true"/>
        </w:rPr>
        <w:t xml:space="preserve">. </w:t>
      </w:r>
      <w:r>
        <w:rPr>
          <w:rtl w:val="true"/>
        </w:rPr>
        <w:t>לדעת הסנגור</w:t>
      </w:r>
      <w:r>
        <w:rPr>
          <w:rtl w:val="true"/>
        </w:rPr>
        <w:t xml:space="preserve">, </w:t>
      </w:r>
      <w:r>
        <w:rPr>
          <w:rtl w:val="true"/>
        </w:rPr>
        <w:t>מהקנסות המתונים בדר</w:t>
      </w:r>
      <w:r>
        <w:rPr>
          <w:rtl w:val="true"/>
        </w:rPr>
        <w:t>"</w:t>
      </w:r>
      <w:r>
        <w:rPr>
          <w:rtl w:val="true"/>
        </w:rPr>
        <w:t>כ שהוטלו על הנאשמים שם נגזרת מסקנה</w:t>
      </w:r>
      <w:r>
        <w:rPr>
          <w:rtl w:val="true"/>
        </w:rPr>
        <w:t xml:space="preserve">, </w:t>
      </w:r>
      <w:r>
        <w:rPr>
          <w:rtl w:val="true"/>
        </w:rPr>
        <w:t>שאין מקום להחמרה</w:t>
      </w:r>
      <w:r>
        <w:rPr>
          <w:rtl w:val="true"/>
        </w:rPr>
        <w:t xml:space="preserve">, </w:t>
      </w:r>
      <w:r>
        <w:rPr>
          <w:rtl w:val="true"/>
        </w:rPr>
        <w:t>במיוחד לא להחמרה מופלגת כפי ביקש התובע</w:t>
      </w:r>
      <w:r>
        <w:rPr>
          <w:rtl w:val="true"/>
        </w:rPr>
        <w:t xml:space="preserve">, </w:t>
      </w:r>
      <w:r>
        <w:rPr>
          <w:rtl w:val="true"/>
        </w:rPr>
        <w:t>חרף הרשעותיה הקודמות של העיריה</w:t>
      </w:r>
      <w:r>
        <w:rPr>
          <w:rtl w:val="true"/>
        </w:rPr>
        <w:t xml:space="preserve">, </w:t>
      </w:r>
      <w:r>
        <w:rPr>
          <w:rtl w:val="true"/>
        </w:rPr>
        <w:t>שהן משנות ה</w:t>
      </w:r>
      <w:r>
        <w:rPr>
          <w:rtl w:val="true"/>
        </w:rPr>
        <w:t xml:space="preserve">-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ונעברו במהלך כהונתם של ראשי עיר קודמים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אלה והזמן הרב שחלף מיום האירוע עתר הסנגור כאמור לעיל להסתפק בקנס מתון מאוד</w:t>
      </w:r>
      <w:r>
        <w:rPr>
          <w:rtl w:val="true"/>
        </w:rPr>
        <w:t xml:space="preserve">. </w:t>
      </w:r>
      <w:r>
        <w:rPr>
          <w:rtl w:val="true"/>
        </w:rPr>
        <w:t>לתמיכה בטיעוניו הגיש גם הוא מספר אסמכתאות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בתום הטיעונים לעונש</w:t>
      </w:r>
      <w:r>
        <w:rPr>
          <w:rtl w:val="true"/>
        </w:rPr>
        <w:t xml:space="preserve">, </w:t>
      </w:r>
      <w:r>
        <w:rPr>
          <w:rtl w:val="true"/>
        </w:rPr>
        <w:t>הותר למר יחיעם השמשוני לומר מספר דברים בשם הנאשמת מתוקף תפקידו כמנכ</w:t>
      </w:r>
      <w:r>
        <w:rPr>
          <w:rtl w:val="true"/>
        </w:rPr>
        <w:t>"</w:t>
      </w:r>
      <w:r>
        <w:rPr>
          <w:rtl w:val="true"/>
        </w:rPr>
        <w:t>ל העירייה</w:t>
      </w:r>
      <w:r>
        <w:rPr>
          <w:rtl w:val="true"/>
        </w:rPr>
        <w:t xml:space="preserve">. </w:t>
      </w:r>
      <w:r>
        <w:rPr>
          <w:rtl w:val="true"/>
        </w:rPr>
        <w:t>אתייחס לדבריו 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45" w:end="0"/>
        <w:jc w:val="both"/>
        <w:rPr>
          <w:b/>
          <w:bCs/>
        </w:rPr>
      </w:pPr>
      <w:r>
        <w:rPr>
          <w:b/>
          <w:b/>
          <w:bCs/>
          <w:highlight w:val="yellow"/>
          <w:rtl w:val="true"/>
        </w:rPr>
        <w:t>ג</w:t>
      </w:r>
      <w:r>
        <w:rPr>
          <w:b/>
          <w:bCs/>
          <w:highlight w:val="yellow"/>
          <w:rtl w:val="true"/>
        </w:rPr>
        <w:t xml:space="preserve">. </w:t>
      </w:r>
      <w:r>
        <w:rPr>
          <w:b/>
          <w:b/>
          <w:bCs/>
          <w:highlight w:val="yellow"/>
          <w:rtl w:val="true"/>
        </w:rPr>
        <w:t>לאחר ששמעתי הטיעונים</w:t>
      </w:r>
      <w:r>
        <w:rPr>
          <w:b/>
          <w:bCs/>
          <w:highlight w:val="yellow"/>
          <w:rtl w:val="true"/>
        </w:rPr>
        <w:t xml:space="preserve">, </w:t>
      </w:r>
      <w:r>
        <w:rPr>
          <w:b/>
          <w:b/>
          <w:bCs/>
          <w:highlight w:val="yellow"/>
          <w:rtl w:val="true"/>
        </w:rPr>
        <w:t>עיינתי באסמתכאות ושקלתי הנסיבות לחומרה ולקולה</w:t>
      </w:r>
      <w:r>
        <w:rPr>
          <w:b/>
          <w:bCs/>
          <w:highlight w:val="yellow"/>
          <w:rtl w:val="true"/>
        </w:rPr>
        <w:t xml:space="preserve">, </w:t>
      </w:r>
      <w:r>
        <w:rPr>
          <w:b/>
          <w:b/>
          <w:bCs/>
          <w:highlight w:val="yellow"/>
          <w:rtl w:val="true"/>
        </w:rPr>
        <w:t>הגעתי למסקנות כדלקמן</w:t>
      </w:r>
      <w:r>
        <w:rPr>
          <w:b/>
          <w:bCs/>
          <w:highlight w:val="yellow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360" w:end="-142"/>
        <w:jc w:val="both"/>
        <w:rPr>
          <w:sz w:val="20"/>
          <w:szCs w:val="22"/>
        </w:rPr>
      </w:pPr>
      <w:r>
        <w:rPr>
          <w:rtl w:val="true"/>
        </w:rPr>
        <w:t xml:space="preserve">על חומרת העבירות שבדיון והערך המוגן העומד בבסיסן עמדתי בהרחבה בגזר דין מפורט שיצא מלפני ביום </w:t>
      </w:r>
      <w:r>
        <w:rPr/>
        <w:t>25.06.07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9467/04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איגוד ערים דן לביוב</w:t>
      </w:r>
      <w:r>
        <w:rPr>
          <w:rtl w:val="true"/>
        </w:rPr>
        <w:t xml:space="preserve">, </w:t>
      </w:r>
      <w:r>
        <w:rPr>
          <w:rtl w:val="true"/>
        </w:rPr>
        <w:t xml:space="preserve">שאליו הפנה גם התובע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גזר הדין בעניין השפדן</w:t>
      </w:r>
      <w:r>
        <w:rPr>
          <w:rtl w:val="true"/>
        </w:rPr>
        <w:t xml:space="preserve">"). </w:t>
      </w:r>
      <w:r>
        <w:rPr>
          <w:rtl w:val="true"/>
        </w:rPr>
        <w:t>בקצרה ייאמר</w:t>
      </w:r>
      <w:r>
        <w:rPr>
          <w:rtl w:val="true"/>
        </w:rPr>
        <w:t xml:space="preserve">, </w:t>
      </w:r>
      <w:r>
        <w:rPr>
          <w:rtl w:val="true"/>
        </w:rPr>
        <w:t>שחובתו של בית המשפט להוציא מכוח אל הפועל התכלית החקיקתית ולעשות ולשירוש הפגיעה באיכות הסביבה בישראל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360" w:end="-142"/>
        <w:jc w:val="both"/>
        <w:rPr>
          <w:sz w:val="22"/>
        </w:rPr>
      </w:pPr>
      <w:r>
        <w:rPr>
          <w:rtl w:val="true"/>
        </w:rPr>
        <w:t xml:space="preserve">בגזר הדין בעניין השפדן צוטטו דברי ההסבר </w:t>
      </w:r>
      <w:r>
        <w:rPr>
          <w:color w:val="000000"/>
          <w:sz w:val="22"/>
          <w:sz w:val="22"/>
          <w:rtl w:val="true"/>
        </w:rPr>
        <w:t>חוק מניעת זיהום הים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מקורות יבשתיים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תשמ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 xml:space="preserve">ח </w:t>
      </w:r>
      <w:r>
        <w:rPr>
          <w:sz w:val="22"/>
        </w:rPr>
        <w:t>1988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ואני מוצאת לחזור עליהן גם בעניינו כדלקמן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auto" w:line="360"/>
        <w:ind w:start="1604" w:end="567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הים וחופי הים מהווים את אחד ממשאבי הטבע החשובים של המדינה והם המוקד העיקרי לפעילות נופש ותיירות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בעבר נהוג היה לראות את הים כמאגר בעל כושר קיבול אין סופי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אך כיום ברור כבר כי הדבר אינו נכון וכי הים וחופיו הם משאב טבע פגיע מאוד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העלול להיהרס ולהתכלות ויש לשמור ולהגן עליו</w:t>
      </w:r>
      <w:r>
        <w:rPr>
          <w:b/>
          <w:bCs/>
          <w:sz w:val="22"/>
          <w:rtl w:val="true"/>
        </w:rPr>
        <w:t>".</w:t>
      </w:r>
    </w:p>
    <w:p>
      <w:pPr>
        <w:pStyle w:val="Normal"/>
        <w:spacing w:lineRule="auto" w:line="360"/>
        <w:ind w:end="36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360" w:end="-142"/>
        <w:jc w:val="both"/>
        <w:rPr/>
      </w:pPr>
      <w:r>
        <w:rPr>
          <w:b/>
          <w:b/>
          <w:bCs/>
          <w:sz w:val="22"/>
          <w:sz w:val="22"/>
          <w:rtl w:val="true"/>
        </w:rPr>
        <w:t xml:space="preserve">במקרה שבדיון – </w:t>
      </w:r>
    </w:p>
    <w:p>
      <w:pPr>
        <w:pStyle w:val="Normal"/>
        <w:numPr>
          <w:ilvl w:val="0"/>
          <w:numId w:val="7"/>
        </w:numPr>
        <w:spacing w:lineRule="auto" w:line="360"/>
        <w:ind w:hanging="360" w:start="720" w:end="360"/>
        <w:jc w:val="both"/>
        <w:rPr/>
      </w:pPr>
      <w:r>
        <w:rPr>
          <w:sz w:val="22"/>
          <w:sz w:val="22"/>
          <w:rtl w:val="true"/>
        </w:rPr>
        <w:t>אין להתעלם מהחומרה שבזיהום מי ים וחופים במיוחד בחודשי הקיץ הלוהטים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ובאופן שחייב סגירת החופים למשך שלושה ימים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העבירות מקבלות משנה חומרה לנוכח הרשעותיה הקודמות של הנאשמת</w:t>
      </w:r>
      <w:r>
        <w:rPr>
          <w:sz w:val="22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360"/>
        <w:jc w:val="both"/>
        <w:rPr/>
      </w:pPr>
      <w:r>
        <w:rPr>
          <w:sz w:val="22"/>
          <w:sz w:val="22"/>
          <w:rtl w:val="true"/>
        </w:rPr>
        <w:t>יחד עם זאת יש משקל לקולא לעובדה שהנאשמת לא הועמדה לדין ולא הורשעה באחריות לתקלה כי אם בהזרמה שעליה הוחלט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 כדי נסיונות לתיקון הצינור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תקלה שגרמו עובדים מטעם סלקום אשר לא הועמדה לדין ולאחר שלא נמצאה דרך אחרת להתגבר על התקלה</w:t>
      </w:r>
      <w:r>
        <w:rPr>
          <w:sz w:val="22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360"/>
        <w:jc w:val="both"/>
        <w:rPr/>
      </w:pPr>
      <w:r>
        <w:rPr>
          <w:sz w:val="22"/>
          <w:sz w:val="22"/>
          <w:rtl w:val="true"/>
        </w:rPr>
        <w:t>יש להתחשב בהודאת הנאשמת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הגם שעשתה כן בשלב מתקדם של הדיון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חסכה זמן שיפוטי רב</w:t>
      </w:r>
      <w:r>
        <w:rPr>
          <w:sz w:val="22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360"/>
        <w:jc w:val="both"/>
        <w:rPr/>
      </w:pPr>
      <w:r>
        <w:rPr>
          <w:sz w:val="22"/>
          <w:sz w:val="22"/>
          <w:rtl w:val="true"/>
        </w:rPr>
        <w:t>הנסיבות בתקדימים שהציג התובע שונות מהותית מנסיבות המקרה שבדיון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 שטען הסנגור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שם במרבית המקרים הוזרם ביוב גולמי 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להבדיל ממי קולחין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בחלק מהמקרים עמדו על נאשמים על כפירה וההליך התנהל עד תום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מה שאין כן במקרה זה ולאחר שמיעת חלק ניכר מהראיות השכילה התביעה לוותר על האשמתם של נאשמים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דבר שמוכיח שניהול ההוכחות לא היה לשווא</w:t>
      </w:r>
      <w:r>
        <w:rPr>
          <w:sz w:val="22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360"/>
        <w:jc w:val="both"/>
        <w:rPr/>
      </w:pPr>
      <w:r>
        <w:rPr>
          <w:sz w:val="22"/>
          <w:sz w:val="22"/>
          <w:rtl w:val="true"/>
        </w:rPr>
        <w:t>מוצאת אני להתייחס לפסק דינו של בית המשפט המחוזי בתל אביב – הרכב בראשות הנשיאה 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 xml:space="preserve">השופטת ברלינר </w:t>
      </w:r>
      <w:hyperlink r:id="rId18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z w:val="22"/>
            <w:u w:val="single"/>
          </w:rPr>
          <w:t>7752/09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מדינת ישראל נ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מילקו תעשיות בע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מ וזאב קלימי</w:t>
        </w:r>
      </w:hyperlink>
      <w:r>
        <w:rPr>
          <w:sz w:val="22"/>
          <w:sz w:val="22"/>
          <w:rtl w:val="true"/>
        </w:rPr>
        <w:t xml:space="preserve"> מיום </w:t>
      </w:r>
      <w:r>
        <w:rPr>
          <w:sz w:val="22"/>
        </w:rPr>
        <w:t>16.12.09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 xml:space="preserve">בית המשפט המחוזי קיבל את ערעור המדינה והחמיר עונשם של חברת טרה ומנהלה אשר הורשעו בעבירות לפי </w:t>
      </w:r>
      <w:hyperlink r:id="rId19">
        <w:r>
          <w:rPr>
            <w:rStyle w:val="Hyperlink"/>
            <w:sz w:val="22"/>
            <w:sz w:val="22"/>
            <w:rtl w:val="true"/>
          </w:rPr>
          <w:t>חוק המים</w:t>
        </w:r>
      </w:hyperlink>
      <w:r>
        <w:rPr>
          <w:sz w:val="22"/>
          <w:sz w:val="22"/>
          <w:rtl w:val="true"/>
        </w:rPr>
        <w:t xml:space="preserve"> ותקנותיו ו</w:t>
      </w:r>
      <w:hyperlink r:id="rId20">
        <w:r>
          <w:rPr>
            <w:rStyle w:val="Hyperlink"/>
            <w:sz w:val="22"/>
            <w:sz w:val="22"/>
            <w:rtl w:val="true"/>
          </w:rPr>
          <w:t>חוק רישוי עסקים</w:t>
        </w:r>
      </w:hyperlink>
      <w:r>
        <w:rPr>
          <w:sz w:val="22"/>
          <w:sz w:val="22"/>
          <w:rtl w:val="true"/>
        </w:rPr>
        <w:t xml:space="preserve"> ותקנותיו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 xml:space="preserve">בית המשפט המחוזי החמיר בעונשה של חברת טרה והקנס בסך </w:t>
      </w:r>
      <w:r>
        <w:rPr>
          <w:sz w:val="22"/>
        </w:rPr>
        <w:t>75,000</w:t>
      </w:r>
      <w:r>
        <w:rPr>
          <w:sz w:val="22"/>
          <w:rtl w:val="true"/>
        </w:rPr>
        <w:t xml:space="preserve"> ₪ </w:t>
      </w:r>
      <w:r>
        <w:rPr>
          <w:sz w:val="22"/>
          <w:sz w:val="22"/>
          <w:rtl w:val="true"/>
        </w:rPr>
        <w:t>הומר ב</w:t>
      </w:r>
      <w:r>
        <w:rPr>
          <w:sz w:val="22"/>
          <w:rtl w:val="true"/>
        </w:rPr>
        <w:t xml:space="preserve">- </w:t>
      </w:r>
      <w:r>
        <w:rPr>
          <w:sz w:val="22"/>
        </w:rPr>
        <w:t>400,000₪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firstLine="60" w:start="720" w:end="360"/>
        <w:jc w:val="both"/>
        <w:rPr/>
      </w:pPr>
      <w:r>
        <w:rPr>
          <w:rtl w:val="true"/>
        </w:rPr>
        <w:t xml:space="preserve">הגם שעצם התוצאה בערכאת הערעור היא בבחינה </w:t>
      </w:r>
      <w:r>
        <w:rPr>
          <w:rtl w:val="true"/>
        </w:rPr>
        <w:t>"</w:t>
      </w:r>
      <w:r>
        <w:rPr>
          <w:rtl w:val="true"/>
        </w:rPr>
        <w:t>קריאה</w:t>
      </w:r>
      <w:r>
        <w:rPr>
          <w:rtl w:val="true"/>
        </w:rPr>
        <w:t xml:space="preserve">" </w:t>
      </w:r>
      <w:r>
        <w:rPr>
          <w:rtl w:val="true"/>
        </w:rPr>
        <w:t>להחמרת העונשים</w:t>
      </w:r>
      <w:r>
        <w:rPr>
          <w:rtl w:val="true"/>
        </w:rPr>
        <w:t xml:space="preserve">, </w:t>
      </w:r>
      <w:r>
        <w:rPr>
          <w:rtl w:val="true"/>
        </w:rPr>
        <w:t>אין לגזור מפסק דין חדיש זה למקרה שבדיון</w:t>
      </w:r>
      <w:r>
        <w:rPr>
          <w:rtl w:val="true"/>
        </w:rPr>
        <w:t xml:space="preserve">, </w:t>
      </w:r>
      <w:r>
        <w:rPr>
          <w:rtl w:val="true"/>
        </w:rPr>
        <w:t>הן באשר לתוצאות ההזרמה והן באשר למניעים שבבסיס ביצוע העבירות</w:t>
      </w:r>
      <w:r>
        <w:rPr>
          <w:rtl w:val="true"/>
        </w:rPr>
        <w:t xml:space="preserve">. </w:t>
      </w:r>
      <w:r>
        <w:rPr>
          <w:rtl w:val="true"/>
        </w:rPr>
        <w:t>שם הוזרמה ממפעלה של טרה תמלחת למי הקולחין</w:t>
      </w:r>
      <w:r>
        <w:rPr>
          <w:rtl w:val="true"/>
        </w:rPr>
        <w:t xml:space="preserve">, </w:t>
      </w:r>
      <w:r>
        <w:rPr>
          <w:rtl w:val="true"/>
        </w:rPr>
        <w:t>שהיה בה לפגוע באיכות מי הקולחין המשמשים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להשקיה חקלאית</w:t>
      </w:r>
      <w:r>
        <w:rPr>
          <w:rtl w:val="true"/>
        </w:rPr>
        <w:t xml:space="preserve">. </w:t>
      </w:r>
      <w:r>
        <w:rPr>
          <w:rtl w:val="true"/>
        </w:rPr>
        <w:t>עוד נקבע שם שעליה במליחותם של מי קולחין עלולה לפגוע במבנה הקרקע ועלולה להביא להמלחת מי התהום</w:t>
      </w:r>
      <w:r>
        <w:rPr>
          <w:rtl w:val="true"/>
        </w:rPr>
        <w:t xml:space="preserve">. </w:t>
      </w:r>
      <w:r>
        <w:rPr>
          <w:rtl w:val="true"/>
        </w:rPr>
        <w:t>כמו כן משום הקביעה שהעבירות שם בוצעו מטעמים כלכליים</w:t>
      </w:r>
      <w:r>
        <w:rPr>
          <w:rtl w:val="true"/>
        </w:rPr>
        <w:t xml:space="preserve">, </w:t>
      </w:r>
      <w:r>
        <w:rPr>
          <w:rtl w:val="true"/>
        </w:rPr>
        <w:t>חרף התראות שהמשרד להגנת הסביבה התרה בטרה</w:t>
      </w:r>
      <w:r>
        <w:rPr>
          <w:rtl w:val="true"/>
        </w:rPr>
        <w:t xml:space="preserve">. </w:t>
      </w:r>
      <w:r>
        <w:rPr>
          <w:rtl w:val="true"/>
        </w:rPr>
        <w:t>נסיבות מחמירות אלה לא מתקיימות במקרה 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Cs w:val="26"/>
          <w:rtl w:val="true"/>
        </w:rPr>
        <w:t xml:space="preserve">סוף דבר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לאחר איזון ושקלול האינטרסים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החלטתי שלא למצות עם הנאשמת את מלוא חומרת הדין ו</w:t>
      </w:r>
      <w:r>
        <w:rPr>
          <w:rtl w:val="true"/>
        </w:rPr>
        <w:t>אני גוזרת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קנס בסך </w:t>
      </w:r>
      <w:r>
        <w:rPr/>
        <w:t>140,000</w:t>
      </w:r>
      <w:r>
        <w:rPr>
          <w:rtl w:val="true"/>
        </w:rPr>
        <w:t xml:space="preserve"> ₪ </w:t>
      </w:r>
      <w:r>
        <w:rPr>
          <w:rtl w:val="true"/>
        </w:rPr>
        <w:t>אשר ישולם לקרן לשמירה על מי הים</w:t>
      </w:r>
      <w:r>
        <w:rPr>
          <w:rtl w:val="true"/>
        </w:rPr>
        <w:t xml:space="preserve">, </w:t>
      </w:r>
      <w:r>
        <w:rPr>
          <w:rtl w:val="true"/>
        </w:rPr>
        <w:t xml:space="preserve">שישולם 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חתימה על התחייבות בסך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שבמשך שנתיים מהיום לא תעבור הנאשמת עבירה מהעבירות המנויות ב</w:t>
      </w:r>
      <w:hyperlink r:id="rId21">
        <w:r>
          <w:rPr>
            <w:rStyle w:val="Hyperlink"/>
            <w:rtl w:val="true"/>
          </w:rPr>
          <w:t>חוק המים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חתימה על התחייבות  נוספת בסך </w:t>
      </w:r>
      <w:r>
        <w:rPr/>
        <w:t>100,000</w:t>
      </w:r>
      <w:r>
        <w:rPr>
          <w:rtl w:val="true"/>
        </w:rPr>
        <w:t xml:space="preserve"> ₪,  </w:t>
      </w:r>
      <w:r>
        <w:rPr>
          <w:rtl w:val="true"/>
        </w:rPr>
        <w:t>שבמשך שנתיים מהיום לא תעבור עבירות מהעבירות המנויות בחוק זיהום מי הים ממקורות יבשתיים</w:t>
      </w:r>
      <w:r>
        <w:rPr>
          <w:rtl w:val="true"/>
        </w:rPr>
        <w:t xml:space="preserve">. </w:t>
        <w:br/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-135" w:end="0"/>
        <w:jc w:val="both"/>
        <w:rPr>
          <w:sz w:val="22"/>
        </w:rPr>
      </w:pPr>
      <w:r>
        <w:rPr>
          <w:rtl w:val="true"/>
        </w:rPr>
        <w:t>בשולי גזר הדין</w:t>
      </w:r>
      <w:r>
        <w:rPr>
          <w:rtl w:val="true"/>
        </w:rPr>
        <w:t xml:space="preserve">, </w:t>
      </w:r>
      <w:r>
        <w:rPr>
          <w:rtl w:val="true"/>
        </w:rPr>
        <w:t>אין  לי אלא להביע מורת רוח מדבריו של מנכ</w:t>
      </w:r>
      <w:r>
        <w:rPr>
          <w:rtl w:val="true"/>
        </w:rPr>
        <w:t>"</w:t>
      </w:r>
      <w:r>
        <w:rPr>
          <w:rtl w:val="true"/>
        </w:rPr>
        <w:t>ל העירייה</w:t>
      </w:r>
      <w:r>
        <w:rPr>
          <w:rtl w:val="true"/>
        </w:rPr>
        <w:t xml:space="preserve">, </w:t>
      </w:r>
      <w:r>
        <w:rPr>
          <w:rtl w:val="true"/>
        </w:rPr>
        <w:t>מר יחיעם שמשוני</w:t>
      </w:r>
      <w:r>
        <w:rPr>
          <w:rtl w:val="true"/>
        </w:rPr>
        <w:t xml:space="preserve">. </w:t>
        <w:br/>
      </w:r>
      <w:r>
        <w:rPr>
          <w:rtl w:val="true"/>
        </w:rPr>
        <w:t>הדברים התאפיינו בציניות מתנשאת תוך העלאת בקורת על עצם הגשת כתב האישום</w:t>
      </w:r>
      <w:r>
        <w:rPr>
          <w:rtl w:val="true"/>
        </w:rPr>
        <w:t xml:space="preserve">. </w:t>
      </w:r>
      <w:r>
        <w:rPr>
          <w:rtl w:val="true"/>
        </w:rPr>
        <w:t>לא שמעתי שהדובר הוא משפטן המודע להוראות שבחוק ומסגול להתמודד עם האינטרסים השונים ושלעיתים סותרים זה את זה</w:t>
      </w:r>
      <w:r>
        <w:rPr>
          <w:rtl w:val="true"/>
        </w:rPr>
        <w:t xml:space="preserve">, </w:t>
      </w:r>
      <w:r>
        <w:rPr>
          <w:rtl w:val="true"/>
        </w:rPr>
        <w:t>הצריכים התחשבות ומגולמים בהגשת כתב אישום על ידי תובעים מטעם היועץ המשפטי לממשלה בשם מדינת ישראל והמשרד להגנת הסביבה</w:t>
      </w:r>
      <w:r>
        <w:rPr>
          <w:rtl w:val="true"/>
        </w:rPr>
        <w:t xml:space="preserve">. </w:t>
      </w:r>
      <w:r>
        <w:rPr>
          <w:rtl w:val="true"/>
        </w:rPr>
        <w:t>ראוי היה שיופעלו קצת יותר זהירות ושיקול דעת בטרם הטיח אשמות באחרים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לא היה בדבריו להשפיע על שיקולי ביהמ</w:t>
      </w:r>
      <w:r>
        <w:rPr>
          <w:rtl w:val="true"/>
        </w:rPr>
        <w:t>"</w:t>
      </w:r>
      <w:r>
        <w:rPr>
          <w:rtl w:val="true"/>
        </w:rPr>
        <w:t>ש בעת גזירת העונש</w:t>
      </w:r>
      <w:r>
        <w:rPr>
          <w:rtl w:val="true"/>
        </w:rPr>
        <w:t xml:space="preserve">. </w:t>
      </w:r>
      <w:r>
        <w:rPr>
          <w:rtl w:val="true"/>
        </w:rPr>
        <w:t xml:space="preserve">במאמר מוסגר ייאמר שבית משפט זה מאמין ומקווה שהתייחסות של מר יחיעם השמשוני איננה משקפת את התייחסותם של פרנסי העיר </w:t>
      </w:r>
      <w:r>
        <w:rPr>
          <w:sz w:val="22"/>
          <w:sz w:val="22"/>
          <w:rtl w:val="true"/>
        </w:rPr>
        <w:t>והיא דעתו האישית בלבד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בעוד שהעירייה ככזו מודעת לחשיבות פעילותו של המשרד להגנת הסביבה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start="-135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 xml:space="preserve">הודעה זכות ערעור לבית המשפט המחוזי תוך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 מהיום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 xml:space="preserve">             </w:t>
      </w:r>
    </w:p>
    <w:p>
      <w:pPr>
        <w:pStyle w:val="Normal"/>
        <w:ind w:end="0"/>
        <w:jc w:val="start"/>
        <w:rPr>
          <w:rFonts w:ascii="Arial" w:hAnsi="Arial" w:cs="FrankRuehl"/>
          <w:sz w:val="6"/>
          <w:szCs w:val="6"/>
        </w:rPr>
      </w:pPr>
      <w:r>
        <w:rPr>
          <w:rFonts w:cs="FrankRuehl" w:ascii="Arial" w:hAnsi="Arial"/>
          <w:sz w:val="6"/>
          <w:szCs w:val="6"/>
          <w:rtl w:val="true"/>
        </w:rPr>
        <w:t>&lt;</w:t>
      </w:r>
      <w:r>
        <w:rPr>
          <w:rFonts w:cs="FrankRuehl" w:ascii="Arial" w:hAnsi="Arial"/>
          <w:sz w:val="6"/>
          <w:szCs w:val="6"/>
        </w:rPr>
        <w:t>#3#</w:t>
      </w:r>
      <w:r>
        <w:rPr>
          <w:rFonts w:cs="FrankRueh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FrankRuehl"/>
          <w:sz w:val="6"/>
          <w:szCs w:val="6"/>
        </w:rPr>
      </w:pPr>
      <w:r>
        <w:rPr>
          <w:rFonts w:cs="FrankRueh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24/12/2009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הסנגורית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אבקש אורכה קצרה לחתימת נציג מוסמך על ההתחייבות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אין התנגדות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#4#</w:t>
      </w:r>
      <w:r>
        <w:rPr>
          <w:rFonts w:cs="Arial" w:ascii="Arial" w:hAnsi="Arial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ההתחייבויות תחתמנה עד ליום </w:t>
      </w:r>
      <w:r>
        <w:rPr>
          <w:rFonts w:cs="Arial" w:ascii="Arial" w:hAnsi="Arial"/>
        </w:rPr>
        <w:t>3.01.10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התיק יובא לעיוני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4.01.10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#5#</w:t>
      </w:r>
      <w:r>
        <w:rPr>
          <w:rFonts w:cs="Arial" w:ascii="Arial" w:hAnsi="Arial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24/12/2009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דורית רייך שפירא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/Users/liorb/Downloads/study2025-p2/SH-07-3877-462.doc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3877-07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המשרד להגנת הסביבה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עיריית הרצליה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4">
    <w:lvl w:ilvl="0"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421" TargetMode="External"/><Relationship Id="rId3" Type="http://schemas.openxmlformats.org/officeDocument/2006/relationships/hyperlink" Target="http://www.nevo.co.il/law/72421/20b.a." TargetMode="External"/><Relationship Id="rId4" Type="http://schemas.openxmlformats.org/officeDocument/2006/relationships/hyperlink" Target="http://www.nevo.co.il/law/72421/20b.b." TargetMode="External"/><Relationship Id="rId5" Type="http://schemas.openxmlformats.org/officeDocument/2006/relationships/hyperlink" Target="http://www.nevo.co.il/law/72421/20ka" TargetMode="External"/><Relationship Id="rId6" Type="http://schemas.openxmlformats.org/officeDocument/2006/relationships/hyperlink" Target="http://www.nevo.co.il/law/72421/20kb" TargetMode="External"/><Relationship Id="rId7" Type="http://schemas.openxmlformats.org/officeDocument/2006/relationships/hyperlink" Target="http://www.nevo.co.il/law/72512" TargetMode="External"/><Relationship Id="rId8" Type="http://schemas.openxmlformats.org/officeDocument/2006/relationships/hyperlink" Target="http://www.nevo.co.il/law/72512/2" TargetMode="External"/><Relationship Id="rId9" Type="http://schemas.openxmlformats.org/officeDocument/2006/relationships/hyperlink" Target="http://www.nevo.co.il/law/72512/6.a." TargetMode="External"/><Relationship Id="rId10" Type="http://schemas.openxmlformats.org/officeDocument/2006/relationships/hyperlink" Target="http://www.nevo.co.il/law/72512/6.c" TargetMode="External"/><Relationship Id="rId11" Type="http://schemas.openxmlformats.org/officeDocument/2006/relationships/hyperlink" Target="http://www.nevo.co.il/law/74267" TargetMode="External"/><Relationship Id="rId12" Type="http://schemas.openxmlformats.org/officeDocument/2006/relationships/hyperlink" Target="http://www.nevo.co.il/law/72421/20b.a.;20b.b.;20ka;20kb" TargetMode="External"/><Relationship Id="rId13" Type="http://schemas.openxmlformats.org/officeDocument/2006/relationships/hyperlink" Target="http://www.nevo.co.il/law/72421" TargetMode="External"/><Relationship Id="rId14" Type="http://schemas.openxmlformats.org/officeDocument/2006/relationships/hyperlink" Target="http://www.nevo.co.il/law/72512/2;6.a.;6.c" TargetMode="External"/><Relationship Id="rId15" Type="http://schemas.openxmlformats.org/officeDocument/2006/relationships/hyperlink" Target="http://www.nevo.co.il/law/72512" TargetMode="External"/><Relationship Id="rId16" Type="http://schemas.openxmlformats.org/officeDocument/2006/relationships/hyperlink" Target="http://www.nevo.co.il/law/72421" TargetMode="External"/><Relationship Id="rId17" Type="http://schemas.openxmlformats.org/officeDocument/2006/relationships/hyperlink" Target="http://www.nevo.co.il/case/1771048" TargetMode="External"/><Relationship Id="rId18" Type="http://schemas.openxmlformats.org/officeDocument/2006/relationships/hyperlink" Target="http://www.nevo.co.il/case/2303006" TargetMode="External"/><Relationship Id="rId19" Type="http://schemas.openxmlformats.org/officeDocument/2006/relationships/hyperlink" Target="http://www.nevo.co.il/law/72421" TargetMode="External"/><Relationship Id="rId20" Type="http://schemas.openxmlformats.org/officeDocument/2006/relationships/hyperlink" Target="http://www.nevo.co.il/law/74267" TargetMode="External"/><Relationship Id="rId21" Type="http://schemas.openxmlformats.org/officeDocument/2006/relationships/hyperlink" Target="http://www.nevo.co.il/law/7242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2016-08-10T13:26:00Z</dcterms:created>
  <dc:creator>Shahar Goldstein</dc:creator>
  <dc:description/>
  <cp:keywords/>
  <dc:language>en-IL</dc:language>
  <cp:lastModifiedBy>hofit</cp:lastModifiedBy>
  <dcterms:modified xsi:type="dcterms:W3CDTF">2016-08-10T13:26:00Z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המשרד להגנת הסביבה ת#א</vt:lpwstr>
  </property>
  <property fmtid="{D5CDD505-2E9C-101B-9397-08002B2CF9AE}" pid="3" name="APPELLEE">
    <vt:lpwstr>עיריית הרצליה;דיויד סקוט ;יעקב פררו </vt:lpwstr>
  </property>
  <property fmtid="{D5CDD505-2E9C-101B-9397-08002B2CF9AE}" pid="4" name="CASESLISTTMP1">
    <vt:lpwstr>1771048;2303006</vt:lpwstr>
  </property>
  <property fmtid="{D5CDD505-2E9C-101B-9397-08002B2CF9AE}" pid="5" name="CITY">
    <vt:lpwstr>ת"א</vt:lpwstr>
  </property>
  <property fmtid="{D5CDD505-2E9C-101B-9397-08002B2CF9AE}" pid="6" name="DATE">
    <vt:lpwstr>20091224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דורית רייך שפירא</vt:lpwstr>
  </property>
  <property fmtid="{D5CDD505-2E9C-101B-9397-08002B2CF9AE}" pid="10" name="LAWLISTTMP1">
    <vt:lpwstr>72421/020b.a;020b.b;20ka;20kb</vt:lpwstr>
  </property>
  <property fmtid="{D5CDD505-2E9C-101B-9397-08002B2CF9AE}" pid="11" name="LAWLISTTMP2">
    <vt:lpwstr>72512/002;006.a;006.c</vt:lpwstr>
  </property>
  <property fmtid="{D5CDD505-2E9C-101B-9397-08002B2CF9AE}" pid="12" name="LAWLISTTMP3">
    <vt:lpwstr>74267</vt:lpwstr>
  </property>
  <property fmtid="{D5CDD505-2E9C-101B-9397-08002B2CF9AE}" pid="13" name="LAWYER">
    <vt:lpwstr>ישי שריד;יחיאל שמיר;וייסנברג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3877</vt:lpwstr>
  </property>
  <property fmtid="{D5CDD505-2E9C-101B-9397-08002B2CF9AE}" pid="27" name="NEWPARTB">
    <vt:lpwstr/>
  </property>
  <property fmtid="{D5CDD505-2E9C-101B-9397-08002B2CF9AE}" pid="28" name="NEWPARTC">
    <vt:lpwstr>07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>3877</vt:lpwstr>
  </property>
  <property fmtid="{D5CDD505-2E9C-101B-9397-08002B2CF9AE}" pid="35" name="PROCYEAR">
    <vt:lpwstr>07</vt:lpwstr>
  </property>
  <property fmtid="{D5CDD505-2E9C-101B-9397-08002B2CF9AE}" pid="36" name="PSAKDIN">
    <vt:lpwstr>גזר-דין</vt:lpwstr>
  </property>
  <property fmtid="{D5CDD505-2E9C-101B-9397-08002B2CF9AE}" pid="37" name="RemarkFileName">
    <vt:lpwstr>shalom sh 07 3877 462 htm</vt:lpwstr>
  </property>
  <property fmtid="{D5CDD505-2E9C-101B-9397-08002B2CF9AE}" pid="38" name="TYPE">
    <vt:lpwstr>3</vt:lpwstr>
  </property>
  <property fmtid="{D5CDD505-2E9C-101B-9397-08002B2CF9AE}" pid="39" name="TYPE_ABS_DATE">
    <vt:lpwstr>380020091224</vt:lpwstr>
  </property>
  <property fmtid="{D5CDD505-2E9C-101B-9397-08002B2CF9AE}" pid="40" name="TYPE_N_DATE">
    <vt:lpwstr>38020091224</vt:lpwstr>
  </property>
  <property fmtid="{D5CDD505-2E9C-101B-9397-08002B2CF9AE}" pid="41" name="VOLUME">
    <vt:lpwstr/>
  </property>
  <property fmtid="{D5CDD505-2E9C-101B-9397-08002B2CF9AE}" pid="42" name="WORDNUMPAGES">
    <vt:lpwstr>6</vt:lpwstr>
  </property>
</Properties>
</file>