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1"/>
        <w:gridCol w:w="3127"/>
        <w:gridCol w:w="1060"/>
        <w:gridCol w:w="3447"/>
        <w:gridCol w:w="216"/>
      </w:tblGrid>
      <w:tr>
        <w:trPr>
          <w:trHeight w:val="418" w:hRule="exact"/>
        </w:trPr>
        <w:tc>
          <w:tcPr>
            <w:tcW w:w="8721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38886-12-22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סיידה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 xml:space="preserve">) </w:t>
            </w:r>
            <w:r>
              <w:rPr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8505" w:type="dxa"/>
            <w:gridSpan w:val="4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פני כבוד השופט  מוחמד עלי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1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127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507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21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634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1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12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507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אברהים סיידה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עריד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16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355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280"/>
        <w:ind w:hanging="0" w:start="0" w:end="0"/>
        <w:contextualSpacing/>
        <w:jc w:val="both"/>
        <w:rPr/>
      </w:pPr>
      <w:bookmarkStart w:id="7" w:name="ABSTRACT_START"/>
      <w:bookmarkEnd w:id="7"/>
      <w:r>
        <w:rPr>
          <w:rFonts w:ascii="David" w:hAnsi="David"/>
          <w:rtl w:val="true"/>
        </w:rPr>
        <w:t xml:space="preserve">הנאשמים </w:t>
      </w:r>
      <w:r>
        <w:rPr>
          <w:rFonts w:ascii="David" w:hAnsi="David"/>
          <w:rtl w:val="true"/>
        </w:rPr>
        <w:t>הורשעו על פי הודאתם בכתב אישום מתוקן במסגרת הסדר טיעון שלא כלל הסכמה 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1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11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ascii="David" w:hAnsi="David"/>
          <w:rtl w:val="true"/>
        </w:rPr>
        <w:t>וסיפא</w:t>
      </w:r>
      <w:r>
        <w:rPr>
          <w:rFonts w:ascii="David" w:hAnsi="David"/>
          <w:rtl w:val="true"/>
        </w:rPr>
        <w:t xml:space="preserve"> בשילוב </w:t>
      </w:r>
      <w:hyperlink r:id="rId12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80" w:after="280"/>
        <w:ind w:start="57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280"/>
        <w:ind w:hanging="0" w:start="0" w:end="0"/>
        <w:contextualSpacing/>
        <w:jc w:val="both"/>
        <w:rPr/>
      </w:pPr>
      <w:bookmarkStart w:id="8" w:name="ABSTRACT_END"/>
      <w:bookmarkEnd w:id="8"/>
      <w:r>
        <w:rPr>
          <w:rFonts w:ascii="David" w:hAnsi="David"/>
          <w:rtl w:val="true"/>
        </w:rPr>
        <w:t>בפתח כתב האישום המתוקן צוין כי בין הנאשמים קיימת היכרות מוקדמת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בתקופה הרלוונטית לכתב האישום היה רכב מסוג מזדה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המזדה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b/>
          <w:b/>
          <w:bCs/>
          <w:rtl w:val="true"/>
        </w:rPr>
        <w:t xml:space="preserve"> רכב המזדה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בשימושו של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רסלאן עוקר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צוין כי 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התאריכים </w:t>
      </w:r>
      <w:r>
        <w:rPr>
          <w:rFonts w:cs="David" w:ascii="David" w:hAnsi="David"/>
        </w:rPr>
        <w:t>14.11.2022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16.11.2022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נגנבו שתי לוחיות רישוי מרכב סקודה שבבעלות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ס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הסקודה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280"/>
        <w:ind w:hanging="0" w:start="0" w:end="0"/>
        <w:contextualSpacing/>
        <w:jc w:val="both"/>
        <w:rPr/>
      </w:pP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ליום </w:t>
      </w:r>
      <w:r>
        <w:rPr>
          <w:rFonts w:cs="David" w:ascii="David" w:hAnsi="David"/>
        </w:rPr>
        <w:t>22.11.2022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ביחד עם שני אנשים לפחות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שזהותם אינה ידועה למאשימה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יכונו 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האחרים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האחרים והנאשמים יכונו 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בני החבורה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קשרו קשר לנסוע יחדיו במזדה כשברשותם שני כלי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והם רעולי פנים וברשותם כפפות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וזאת בדרך ליעד שאינו ידוע למאשימה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לשם קידום התכנית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ליום </w:t>
      </w:r>
      <w:r>
        <w:rPr>
          <w:rFonts w:cs="David" w:ascii="David" w:hAnsi="David"/>
        </w:rPr>
        <w:t>22.11.2022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זייפו האחרים את סימני הזיהוי של רכב המזדה בכך שהחליפו את לוחיות הרישוי שלו בלוחיות הרישוי שנגנבו מהסקודה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280"/>
        <w:ind w:hanging="0" w:start="0" w:end="0"/>
        <w:contextualSpacing/>
        <w:jc w:val="both"/>
        <w:rPr/>
      </w:pPr>
      <w:r>
        <w:rPr>
          <w:rFonts w:ascii="David" w:hAnsi="David"/>
          <w:rtl w:val="true"/>
        </w:rPr>
        <w:t xml:space="preserve">בכתב האישום צוין כי ביום </w:t>
      </w:r>
      <w:r>
        <w:rPr>
          <w:rFonts w:cs="David" w:ascii="David" w:hAnsi="David"/>
        </w:rPr>
        <w:t>22.11.2022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1:53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נסעו בני החבורה ברכב המזדה שעליו מותקנות לוחיות הרישוי של הסקודה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 החבורה אשר פעלו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נשאו והובילו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תחמושת ואביזרים לנשק כלהלן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רובה סער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ניקוב מספר סידורי </w:t>
      </w:r>
      <w:r>
        <w:rPr>
          <w:rFonts w:cs="David" w:ascii="David" w:hAnsi="David"/>
        </w:rPr>
        <w:t>1705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חפץ דמוי רובה סער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מספר סידורי </w:t>
      </w:r>
      <w:r>
        <w:rPr>
          <w:rFonts w:cs="David" w:ascii="David" w:hAnsi="David"/>
        </w:rPr>
        <w:t>7305741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כדור בקנה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שתי מחסניות תואמות שהכילו כל אחת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מחסנית התואמת לרובה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ניקוב שהכילה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7.62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במהלך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 מהנאשמים או האחרים כיסו את פניהם באמצעות רעלות ועטו כפפות על ידיהם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280"/>
        <w:ind w:hanging="0" w:start="0" w:end="0"/>
        <w:contextualSpacing/>
        <w:jc w:val="both"/>
        <w:rPr/>
      </w:pPr>
      <w:r>
        <w:rPr>
          <w:rFonts w:ascii="David" w:hAnsi="David"/>
          <w:rtl w:val="true"/>
        </w:rPr>
        <w:t>כתב האישום ממשיך ומתאר כי במהלך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בני החבורה ביישוב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דיידה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מכר ממזרח למערב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כשאורות המזדה כבויים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שהייתה זו שעת לילה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באותה עת שהו בקרבת מקום השוטרים חביב ואיימן שנסעו בניידת משטרתית בצבעי כחול לבן הנושאת סימני זיהוי משטרתיים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הבחינו ברכב המזדה שנסע ללא אורות ובאופן שעורר את חשדם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סימנו לרכב המזדה והורו לו לעצור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השוטר איימן הפעיל אורות כחולים בניידת ונסע לעבר רכב המזדה במטרה לחסום 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זאת נסעו בני החבורה באמצעות המזדה מספר מטרים לאחור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ביצעו פניית פרסה במקום ונמלטו בנסיעה מהירה על כביש </w:t>
      </w:r>
      <w:r>
        <w:rPr>
          <w:rFonts w:cs="David" w:ascii="David" w:hAnsi="David"/>
        </w:rPr>
        <w:t>1003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 היישוב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דידה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בכוונה להפריע לשוטרים או להכשילם במילוי תפקידם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דלקו אחר המזדה כשהם מפעילים אורות כחולים ומורים לרכב המזדה באמצעות הכריזה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בני החבורה לא שעו להוראות השוטרים והמשיכו במנוסה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פנו בני החבורה בנסיעה מהירה לכיוון ימין לעבר שביל עפר משובש בתוך מטע זיתים בעוד הניידת נוסעת בעקבותיהם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הבחין השוטר איימן באחד מנוסעי המזדה אשר ישב במושב האחורי כשהוא מחזיק בחפץ הנראה רובה ומכוון אותו לעבר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בני החבורה המשיכו במנוסתם בעוד השוטרים דולקים אחריהם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שרכב המזדה נפל לתוך תעלת עפר שהייתה בקצה המטע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והניידת נפלה אף היא לתעלה ונתקעה על גג המזדה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התאונה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ברחו לפחות שניים מהאחרים מהמזדה ולא אותרו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 מצדו השמאלי של המזדה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נפל וצעק שהוא פצוע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יצא אף הוא מצדו השמאלי של המזדה וניסה לברוח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 איימן יצא מדלת הנהג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הבחין בבריחתו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שלף את אקדחו וצעק לעברו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משטרה עצור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שעה לקריאות השוטר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השוטר איימן ירה באוויר כדור בודד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קרא שוב לעברו לעצור לפני שהוא יורה ואז ירה מספר כדורים לעבר פלג גופו התחתון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שנפגע ונפל במרחק של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 לערך משמאל למזדה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האביזרים והתחמושת נתפסו סמוך למזדה וליד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אחת המחסניות נתפסה בתוך המזדה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80" w:after="280"/>
        <w:ind w:start="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0" w:start="0" w:end="0"/>
        <w:contextualSpacing/>
        <w:jc w:val="both"/>
        <w:rPr/>
      </w:pPr>
      <w:r>
        <w:rPr>
          <w:rFonts w:ascii="David" w:hAnsi="David"/>
          <w:rtl w:val="true"/>
        </w:rPr>
        <w:t>עוד צוין בכתב האישום כי כתוצאה מהתאונה נגרמו לשוטר איימן חבלות בכתף ימין ובגב התחתון והוא פונה לבית החולים לקבלת טיפול רפואי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התלונן על כאבים בגב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בחזה וברגל ימין עם הגבלת תנועה ופונה למרכז הרפואי לגליל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נבדק ושוחרר באותו 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נגרם פצע בדופן בית חזה משמאל ובית שחי משמאל וכן פצע ירי בזרוע שמאל קדמי ואחורי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שיכולים להתאים לכניסת ויציאת כדור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 צוין כי כתוצאה מהאירוע נגרמו נזקים למזדה ולניידת המשטרה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ListParagraph"/>
        <w:numPr>
          <w:ilvl w:val="0"/>
          <w:numId w:val="2"/>
        </w:numPr>
        <w:spacing w:lineRule="auto" w:line="360" w:before="0" w:after="28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31.3.2023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הגישו הנאשמים תשובה כתובה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 כפרו בעובדות 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לאחר שהתקיימו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ישיבות לשמיעת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בדיון שהתקיים ביום </w:t>
      </w:r>
      <w:r>
        <w:rPr>
          <w:rFonts w:cs="David" w:ascii="David" w:hAnsi="David"/>
        </w:rPr>
        <w:t>25.3.2024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הודיעו הצדדים כי הגיעו להסדר טיעון לפיו הנאשמים יבקשו לחזור בהם מכפירתם ולהודות בכתב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מבלי שתהיינה הסכמות לעניין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יום הרשעתי את הנאשמים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ראיות וטיעוני הצדדים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הגישה טיעון בכתב לעונש והוסיפה וטענה בעל 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כן הוגש גיליון הרשעותיו הקודמות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i/>
          <w:i/>
          <w:iCs/>
          <w:rtl w:val="true"/>
        </w:rPr>
        <w:t>טיעוני 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בטיעוניה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המאשימה לערכים המוגנים בעבירות הנשק והדגישה את מדיניות הענישה המחמירה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firstLine="567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המאשימה הפנתה לנסיבות המקרה שהוגדרו על ידה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חמורות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המאשימה ביקשה להדגיש את הנסיבות שכללו בין היתר נשיאת והובלת שני רובים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שלוש מחסניות וכמות גדולה של תחמושת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המתאימים לרובים שנתפסו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נטען כי כלי הנשק היו רובי סער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שמידת הדיוק שלהם רבה ופגיעתם הפוטנציאלית גדולה והרסנית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כמו כן נטען כי פוטנציאל השימוש בכלי הנשק היה מידי בהינתן זמינות התחמושת ליד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והיות אחד מכלי הנשק טעון עם כדור בקנה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הפנתה המאשימה לכך כי המעשים בוצעו בצוותא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כי קדם להם תכנון מוקדם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הצטיידות בנשק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נסיעה ברכב שפרטיו זויפו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הצטיידות בכפפות וכיסויים להסתרת הפנים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וכי הנאשמים לא שעו להוראות השוטרים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מה שמלמד על תעוזתם הרבה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הפנתה לפסיקה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וטענה כי בנסיבות המקרה מתחם העונש נע 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הוסיפה כי נשיאת נשק בחברה הערבית גובה קורבנות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 הדגישה את חשיבות ההחמרה בענישה ומיצוי הדין עם הנאשמים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אשר לגזירת העונש בתוך המתחם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המאשימה ציינה כי בתיק נוהלו ישיבות לשמיעת ראיות ונשמעו מרבית עדי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צוין כי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 הרשעות קודמות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ואילו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 שתי הרשעות קודמות כאשר האחרונה היא בגין עבירת נשק משנת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במסגרתה נידון לעונש מאסר בפועל של </w:t>
      </w:r>
      <w:r>
        <w:rPr>
          <w:rFonts w:cs="David" w:ascii="David" w:hAnsi="David"/>
        </w:rPr>
        <w:t>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ציינה כי הנאשמים עצורים עד תום ההליכים מיום </w:t>
      </w:r>
      <w:r>
        <w:rPr>
          <w:rFonts w:cs="David" w:ascii="David" w:hAnsi="David"/>
        </w:rPr>
        <w:t>22.11.2022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ביקשה לגזור את עונשו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 הבינוני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תחתון של המתחם הנטען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ואת עונשו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 הבינוני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המאשימה להטיל על הנאשמים מאסר על תנאי ארוך וקנס כספי גבוה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 מסמך רפואי לגבי מצבו הרפואי של בנו שלפי הנטען נולד בנסיבות קשות והיה מורדם ומונשם בלידתו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במסמך הרפואי צוין כי ה</w:t>
      </w:r>
      <w:r>
        <w:rPr>
          <w:rFonts w:ascii="David" w:hAnsi="David"/>
          <w:rtl w:val="true"/>
        </w:rPr>
        <w:t>תינוק</w:t>
      </w:r>
      <w:r>
        <w:rPr>
          <w:rFonts w:ascii="David" w:hAnsi="David"/>
          <w:rtl w:val="true"/>
        </w:rPr>
        <w:t xml:space="preserve"> נולד פג בשבוע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מורדם ומונשם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כיום סובל מאיחור התפתחותי מוטורי ושפתי ונמצא במעקב וטיפול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העידה מטעמו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ציינה כי היא יודעת שהנאשם טעה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סיפרה שהיא ילדה את בנם כשהיא הייתה בחודש השישי להריונה בעוד הנאשם היה 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התינוק נותר בפגיה למשך חודשיים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העדה ציינה כי היא כבת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מגדלת לבד שני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ומתפרנסת מקצבת ביטוח לאומי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ביקשה מבית המשפט להתחשב בנאשם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i/>
          <w:i/>
          <w:iCs/>
          <w:rtl w:val="true"/>
        </w:rPr>
        <w:t>טיעוני הנאשמים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הסנגור הפנה לפערים בין כתב האישום המתוקן לבין כתב האישום המקורי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הפנה להתנהלות השוטרים בנסיבות המקרה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והדגיש את העובדה כי הנאשמים לא עשו שימוש בכלי הנשק שנתפסו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לשיטת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מדיניות הענישה הנוהגת מקלה יותר לעומת המתחם לו טענה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ובתוך כך הפנה לפסיקה וטען כי בנסיבות המקרה יש לקבוע כי מתחם העונש 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firstLine="651" w:start="5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אשר לגזירת העונש בתוך המתחם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הסנגור ביקש להדגיש כי ניהול ההוכחות לא היה לשווא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הוביל לתיקון כתב האישום ומחיקת סעיפי אישום מכתב האישום המקורי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כן הפנה להודאתם וחרטתם של הנאשמים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לעובדה כי </w:t>
      </w:r>
      <w:r>
        <w:rPr>
          <w:rFonts w:ascii="David" w:hAnsi="David"/>
          <w:rtl w:val="true"/>
        </w:rPr>
        <w:t xml:space="preserve">הם </w:t>
      </w:r>
      <w:r>
        <w:rPr>
          <w:rFonts w:ascii="David" w:hAnsi="David"/>
          <w:rtl w:val="true"/>
        </w:rPr>
        <w:t>עצורים מז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תקופה ארוכה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לגבי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 הסנגור לכך שהוא נפצע במהלך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פגיעתו הייתה משמעותית ובעקבותיה היה מאושפז פרק זמן ארוך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צוין כי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צפוי להתחתן לאחר ריצוי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5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בדברו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לפניי הוא אמר שהוא מצטער על מה שעשה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שבית המשפט יקל עמו על מנת שיוכל לשוב ולראות את ילדיו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 שהוא מצטער ומתחרט על מה שקרה וכי הוא לוקח אחריות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ציין כי הוא עומד להתחתן וכי שילם מחיר כבד בחייו ובבריאותו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ציין כי למד לקח וביקש הזדמנות לצאת מהכלא ולהקים משפחה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280"/>
        <w:ind w:hanging="0" w:start="0" w:end="0"/>
        <w:contextualSpacing/>
        <w:jc w:val="both"/>
        <w:rPr/>
      </w:pP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גזירת הדין נעשית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בדרך 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בשני שלבים עיקריים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קביעת מתחם עונש הולם ולאחר מכן גזירת העונש בתוך המתחם </w:t>
      </w:r>
      <w:r>
        <w:rPr>
          <w:rFonts w:cs="David" w:ascii="David" w:hAnsi="David"/>
          <w:rtl w:val="true"/>
        </w:rPr>
        <w:t>(</w:t>
      </w:r>
      <w:hyperlink r:id="rId14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בתוך כך יש לבחון אם קיימים שיקולים המצדיקים סטייה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בבוא בית המשפט לקבוע את 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עליו לעשות כן בהתאם לעיקרון המנחה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כלומר קיומו של יחס הולם בין חומרת מעשה העבירה בנסיבותיו ומידת אשמו של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בין סוג ומידת העונש המוטל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לצורך קביעת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יתחשב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ובנסיבות הקשורות בביצוע העבירה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כאמור </w:t>
      </w:r>
      <w:hyperlink r:id="rId16">
        <w:r>
          <w:rPr>
            <w:rStyle w:val="Hyperlink"/>
            <w:rFonts w:ascii="David" w:hAnsi="David"/>
            <w:color w:val="0000FF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80" w:after="280"/>
        <w:ind w:start="57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280"/>
        <w:ind w:hanging="0" w:start="0" w:end="0"/>
        <w:contextualSpacing/>
        <w:jc w:val="both"/>
        <w:rPr/>
      </w:pPr>
      <w:r>
        <w:rPr>
          <w:rFonts w:ascii="David" w:hAnsi="David"/>
          <w:rtl w:val="true"/>
        </w:rPr>
        <w:t>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הורשע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עביר</w:t>
      </w:r>
      <w:r>
        <w:rPr>
          <w:rFonts w:ascii="David" w:hAnsi="David"/>
          <w:rtl w:val="true"/>
        </w:rPr>
        <w:t xml:space="preserve">ות </w:t>
      </w:r>
      <w:r>
        <w:rPr>
          <w:rFonts w:ascii="David" w:hAnsi="David"/>
          <w:rtl w:val="true"/>
        </w:rPr>
        <w:t>של נשיאת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הובלת והחזקת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הנשק נועדו להגן על חיי אדם ועל שלום הציבור וביטחונו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צורך להכביר מילים לגבי הסכנה הרבה הטמונה בעבירות הנשק ולנזק שעבירות אלו עלולות ל</w:t>
      </w:r>
      <w:r>
        <w:rPr>
          <w:rFonts w:ascii="David" w:hAnsi="David"/>
          <w:rtl w:val="true"/>
        </w:rPr>
        <w:t xml:space="preserve">הסב לביטחון האישי ולחיי אדם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3491/13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טוויק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15.11.2013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בית המשפט העליון עמד לא פעם על חומרתן של עבירות מסוג זה ועל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בציינו את החובה להטיל בעבירות אלו עונש חמור ומרתיע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דאחל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29.3.2004</w:t>
      </w:r>
      <w:r>
        <w:rPr>
          <w:rFonts w:cs="David" w:ascii="David" w:hAnsi="David"/>
          <w:rtl w:val="true"/>
        </w:rPr>
        <w:t xml:space="preserve">);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5336/13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צדוק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17.11.2013</w:t>
      </w:r>
      <w:r>
        <w:rPr>
          <w:rFonts w:cs="David" w:ascii="David" w:hAnsi="David"/>
          <w:rtl w:val="true"/>
        </w:rPr>
        <w:t>)).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 xml:space="preserve">וראו את פסק הדין שניתן לאחרונה </w:t>
      </w:r>
      <w:r>
        <w:rPr>
          <w:rFonts w:ascii="David" w:hAnsi="David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6753/23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בסול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1.4.2024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/>
      </w:pPr>
      <w:r>
        <w:rPr>
          <w:rFonts w:ascii="David" w:hAnsi="David"/>
          <w:rtl w:val="true"/>
        </w:rPr>
        <w:t>הקריאות להחמיר עוד יותר בעונשים בגין עבירות נשק הולכות וגוברות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בשל נפיצותן של עבירות אלו והסיכון החמור שהן גורמות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בין היתר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סובח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16-15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5.11.2019</w:t>
      </w:r>
      <w:r>
        <w:rPr>
          <w:rFonts w:cs="David" w:ascii="David" w:hAnsi="David"/>
          <w:rtl w:val="true"/>
        </w:rPr>
        <w:t xml:space="preserve">);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ביטון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14.2.2021</w:t>
      </w:r>
      <w:r>
        <w:rPr>
          <w:rFonts w:cs="David" w:ascii="David" w:hAnsi="David"/>
          <w:rtl w:val="true"/>
        </w:rPr>
        <w:t xml:space="preserve">);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5522/20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חלייחל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24.2.2021</w:t>
      </w:r>
      <w:r>
        <w:rPr>
          <w:rFonts w:cs="David" w:ascii="David" w:hAnsi="David"/>
          <w:rtl w:val="true"/>
        </w:rPr>
        <w:t xml:space="preserve">);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4207/21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28.7.2021</w:t>
      </w:r>
      <w:r>
        <w:rPr>
          <w:rFonts w:cs="David" w:ascii="David" w:hAnsi="David"/>
          <w:rtl w:val="true"/>
        </w:rPr>
        <w:t xml:space="preserve">);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עבסה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23.1.2022</w:t>
      </w:r>
      <w:r>
        <w:rPr>
          <w:rFonts w:cs="David" w:ascii="David" w:hAnsi="David"/>
          <w:rtl w:val="true"/>
        </w:rPr>
        <w:t xml:space="preserve">);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קואסמה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13.3.2022</w:t>
      </w:r>
      <w:r>
        <w:rPr>
          <w:rFonts w:cs="David" w:ascii="David" w:hAnsi="David"/>
          <w:rtl w:val="true"/>
        </w:rPr>
        <w:t xml:space="preserve">);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טחאינה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13.6.2022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גם המחוקק ביטא עמדה ברורה שיש להחמיר בעונשים בגין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במסגרת </w:t>
      </w:r>
      <w:hyperlink r:id="rId2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ז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חוקק בתיקון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חוק העונשין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</w:t>
      </w:r>
      <w:r>
        <w:rPr>
          <w:rFonts w:cs="David" w:ascii="David" w:hAnsi="David"/>
        </w:rPr>
        <w:t>2938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pacing w:lineRule="auto" w:line="360" w:before="280" w:after="280"/>
        <w:ind w:start="57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280"/>
        <w:ind w:hanging="0" w:start="0" w:end="0"/>
        <w:contextualSpacing/>
        <w:jc w:val="both"/>
        <w:rPr/>
      </w:pPr>
      <w:r>
        <w:rPr>
          <w:rFonts w:ascii="David" w:hAnsi="David"/>
          <w:rtl w:val="true"/>
        </w:rPr>
        <w:t>במסגרת הנסיבות הקשורות בביצוע עבירת הנשק בה הורשעו הנאשמים יש לתת את הדעת לעובדה כי נסיבות המקרה מלמדות על פגיעה חמורה בערכים המוגנים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פגיעה זו מתבטאת במספר נסיבות הקשורות בביצוע העבירות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 w:before="280" w:after="280"/>
        <w:ind w:start="0" w:end="0"/>
        <w:contextualSpacing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/>
      </w:pP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טיב וכמות הנשק מושא העבירות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כפי שצוין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עבירות הנשק התייחסו </w:t>
      </w:r>
    </w:p>
    <w:p>
      <w:pPr>
        <w:pStyle w:val="ListParagraph"/>
        <w:spacing w:lineRule="auto" w:line="360" w:before="280" w:after="280"/>
        <w:ind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למכלול של </w:t>
      </w:r>
      <w:r>
        <w:rPr>
          <w:rFonts w:ascii="David" w:hAnsi="David"/>
          <w:rtl w:val="true"/>
        </w:rPr>
        <w:t>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תחמושת ואביזרים לנשק</w:t>
      </w:r>
      <w:r>
        <w:rPr>
          <w:rFonts w:ascii="David" w:hAnsi="David"/>
          <w:rtl w:val="true"/>
        </w:rPr>
        <w:t xml:space="preserve"> שכללו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רובה סער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חפץ דמוי רובה סער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שתי מחסניות תואמות שהכילו כל אחת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מחסנית התואמת לרובה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ניקוב שהכילה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7.62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הנה אפוא נתפסו שני כלי נשק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ארוכים</w:t>
      </w:r>
      <w:r>
        <w:rPr>
          <w:rFonts w:cs="David" w:ascii="David" w:hAnsi="David"/>
          <w:rtl w:val="true"/>
        </w:rPr>
        <w:t xml:space="preserve">",  </w:t>
      </w:r>
      <w:r>
        <w:rPr>
          <w:rFonts w:ascii="David" w:hAnsi="David"/>
          <w:rtl w:val="true"/>
        </w:rPr>
        <w:t>אשר בשונה מאקדח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החומרה הטמונה בהחזקתם ונשיאתם גבוהה יותר ועל כן הענישה צריכה להיות מחמירה יותר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 xml:space="preserve">: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בראנסי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16.8.2018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לצד כלי הנשק נתפסה כמות משמעותית של תחמושת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80" w:after="280"/>
        <w:ind w:firstLine="720" w:start="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80" w:after="280"/>
        <w:ind w:firstLine="72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השילוב של כלי נשק וכלי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הובלתם ונשיאתם יחד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כי אחד מכלי הנשק היה טעון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מלמדים על 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 שנסיבות ביצוע העבירה מביאות את פוטנציאל הנזק הטמון בעבירות הנשק למצב קיצון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החשש לפגיעה כתוצאה מכלי הנשק היה בקנה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תרתי משמע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להבדיל ממקרים אחרים בהם הסיכון נשקף מעצם החזקת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נשיאת או הובלת הנשק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במקרה זה הסיכון היה חמור שבעתיים בשל מעשיהם האקטיביים של הנאשמים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כמתואר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נסעו ברכב באורות כבויים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לוחיות הרישוי שלו שונו וחלק מבני החבורה היו רעולי פנים ועטו כפפות על ידיהם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נתונים אלו מוסיפים חומרה לנסיבות ומלמדים על תכנון שכרוך בביצוע העבירות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80" w:after="280"/>
        <w:ind w:firstLine="651" w:start="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רביעית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התנהלות הנאשמים כאשר הבחינו בשוטרים מוסיפה נדבך נוסף של חומרה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זו בלבד שהנאשמים לא שעו להוראות השוטרים וברחו בנסיעה מהירה בדרך לא 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שבמהלך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אחד הנוסעים ברכב כיוון כלי נשק לעבר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בעוד שלא ניתן לומר על מי שמחזיק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כל שכן נשק כמו זה שנתפס עם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כוונותיו תמימות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התנהלות הנאשמים לפני ואחרי שהבחינו בשוטרים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צובעת את המקרה בחומרה נוספת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 לא תם העניין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לאחר שרכב המזדה נעצר עקב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נפילתו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לתעלה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אמר נואש וניסה לברוח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אחד השוטרים דלק אחריו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שעה לקריאותיו עד אשר נאלץ השוטר להשתמש בירי חי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תחילה יריות לאוויר ולאחר מכן יריות לעבר גופו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לדחות את טענותיו של הסנגור בכל הנוגע לשאלה לאן כיוונו השוטרים את הירי שבוצע לעבר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שניסה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לאור הודאת הנאשמים בעובדות כתב האישום המתוקן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80" w:after="280"/>
        <w:ind w:firstLine="651" w:start="5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80" w:after="280"/>
        <w:ind w:firstLine="651" w:start="57" w:end="0"/>
        <w:contextualSpacing/>
        <w:jc w:val="both"/>
        <w:rPr/>
      </w:pPr>
      <w:r>
        <w:rPr>
          <w:rFonts w:ascii="David" w:hAnsi="David"/>
          <w:rtl w:val="true"/>
        </w:rPr>
        <w:t>חמישית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לתת את הדעת לנזק שנגרם ולנזק שהיה צפוי להיגרם מביצוע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לנזק הצפוי הטמון בעבירות הנשק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התייחסנו מקודם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נוסף לנזק פוטנציאלי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נגרם נזק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עקב התנהגות הנאשמים נגרמו חבלות לשלושה אנשים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לאחד השוטרים ולנאשמים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 שנגרם לשוטר היה פועל יוצא של התאונה שנגרמה כתוצאה מבריחת הנאשמים מהשוטרים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לנאשמים נגרמו חבלות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העובדה כי השוטרים נאצלו לעשות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נגרמו פצעי ירי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80" w:after="280"/>
        <w:ind w:firstLine="651" w:start="57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280" w:after="280"/>
        <w:ind w:firstLine="651" w:start="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עצם העובדה כי הנאשמים ביצעו את העבירות 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כחלק מקבוצה יותר גדולה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מוסיפה חומרה נוספת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80" w:after="280"/>
        <w:ind w:firstLine="651" w:start="5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80" w:after="280"/>
        <w:ind w:firstLine="651" w:start="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המקרה שלפנינו נושא אפוא חומרה רבה בכל מרכיב ומרכיב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280"/>
        <w:ind w:hanging="0" w:start="0" w:end="0"/>
        <w:contextualSpacing/>
        <w:jc w:val="both"/>
        <w:rPr/>
      </w:pPr>
      <w:r>
        <w:rPr>
          <w:rFonts w:ascii="David" w:hAnsi="David"/>
          <w:rtl w:val="true"/>
        </w:rPr>
        <w:t>לצורך בחינת מדיניות הענישה בעביר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הפנו הצדדים לפסקי דין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התומכים לשיטתם במדיניות הענישה הנטענת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אסתפק בהפניה למספר פסקי דין שניתנו על ידי 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80" w:after="280"/>
        <w:ind w:start="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/>
      </w:pPr>
      <w:r>
        <w:rPr>
          <w:rFonts w:ascii="David" w:hAnsi="David"/>
          <w:rtl w:val="true"/>
        </w:rPr>
        <w:t>ראש וראשון יש להפנות 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שניתן ביום </w:t>
      </w:r>
      <w:r>
        <w:rPr>
          <w:rFonts w:cs="David" w:ascii="David" w:hAnsi="David"/>
        </w:rPr>
        <w:t>14.9.2022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בו קבע </w:t>
      </w:r>
      <w:r>
        <w:rPr>
          <w:rFonts w:ascii="David" w:hAnsi="David"/>
          <w:rtl w:val="true"/>
        </w:rPr>
        <w:t xml:space="preserve">בית המשפט העליון כי מתחם העונש שראוי ברגיל לקבוע לנאשם בגין נשיאה בלתי חוקית של נשק חם במרחב הציבורי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רכיבי ענישה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נזכיר כי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 פלוני דובר על נאשם בן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שלחובתו לא היו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שהורשע בעבירה של נשיאת והובלת נשק ברכבו – </w:t>
      </w:r>
      <w:r>
        <w:rPr>
          <w:rFonts w:ascii="David" w:hAnsi="David"/>
          <w:rtl w:val="true"/>
        </w:rPr>
        <w:t>כאשר היה מדובר ב</w:t>
      </w:r>
      <w:r>
        <w:rPr>
          <w:rFonts w:ascii="David" w:hAnsi="David"/>
          <w:rtl w:val="true"/>
        </w:rPr>
        <w:t>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במקרה שלפנינו דובר על שני נשקים ארוכים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/>
      </w:pPr>
      <w:r>
        <w:rPr>
          <w:rFonts w:ascii="David" w:hAnsi="David"/>
          <w:rtl w:val="true"/>
        </w:rPr>
        <w:t xml:space="preserve">ראו גם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7971/23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אגבאריה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26.5.2024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אגבאריה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בית המשפט העליון החמיר בעונשם של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נשאו הובילו ברכב תת מקלע מאולתר טעון במחסנית שבתוכה עשרה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וכדור נוסף בבית הבליעה של 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קפיץ ופין נעילה מכסה אחורי שיחד עם הנשק בכוחם להמית אדם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שקית ובה תשעה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הצטיידו הנאשמים בכפפה שחורה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כפייה וכובע גרב שחור ובו פתחים לעיניים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ערעור המדינה והחמיר את עונשים של הנאשמים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/>
      </w:pPr>
      <w:r>
        <w:rPr>
          <w:rFonts w:ascii="David" w:hAnsi="David"/>
          <w:rtl w:val="true"/>
        </w:rPr>
        <w:t>לאחרונה ניתן בבית המשפט העליון פסק דין 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6559/23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חסארמה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2.6.2024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חסארמה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הורשעו שלושה נאשמים בעבירות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נשק לצד עבירות של קשירת קשר לביצוע פשע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קבלת רכב גנוב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שימוש ברכב ללא רשות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ובשיבוש מהלכי 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באותו מקרה </w:t>
      </w:r>
      <w:r>
        <w:rPr>
          <w:rFonts w:ascii="David" w:hAnsi="David"/>
          <w:b/>
          <w:b/>
          <w:rtl w:val="true"/>
        </w:rPr>
        <w:t>עבירות הנשק התייחסו לרובה סער קלאצ</w:t>
      </w:r>
      <w:r>
        <w:rPr>
          <w:rFonts w:cs="David" w:ascii="David" w:hAnsi="David"/>
          <w:b/>
          <w:rtl w:val="true"/>
        </w:rPr>
        <w:t>'</w:t>
      </w:r>
      <w:r>
        <w:rPr>
          <w:rFonts w:ascii="David" w:hAnsi="David"/>
          <w:b/>
          <w:b/>
          <w:rtl w:val="true"/>
        </w:rPr>
        <w:t>ניקוב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אקדח חצי</w:t>
      </w:r>
      <w:r>
        <w:rPr>
          <w:rFonts w:cs="David" w:ascii="David" w:hAnsi="David"/>
          <w:b/>
          <w:rtl w:val="true"/>
        </w:rPr>
        <w:t>-</w:t>
      </w:r>
      <w:r>
        <w:rPr>
          <w:rFonts w:ascii="David" w:hAnsi="David"/>
          <w:b/>
          <w:b/>
          <w:rtl w:val="true"/>
        </w:rPr>
        <w:t>אוטומטי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מחסניות ותחמושת לרובה ולאקדח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 xml:space="preserve">בית המשפט המחוזי הטיל על הנאשמים עונשים של </w:t>
      </w:r>
      <w:r>
        <w:rPr>
          <w:rFonts w:cs="David" w:ascii="David" w:hAnsi="David"/>
          <w:b/>
        </w:rPr>
        <w:t>36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ו</w:t>
      </w:r>
      <w:r>
        <w:rPr>
          <w:rFonts w:cs="David" w:ascii="David" w:hAnsi="David"/>
          <w:b/>
          <w:rtl w:val="true"/>
        </w:rPr>
        <w:t xml:space="preserve">- </w:t>
      </w:r>
      <w:r>
        <w:rPr>
          <w:rFonts w:cs="David" w:ascii="David" w:hAnsi="David"/>
          <w:b/>
        </w:rPr>
        <w:t>40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חודשי מאסר בפועל וענישה נלווית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 xml:space="preserve">בית המשפט העליון החמיר בעונשם של הנאשמים והטיל על כל אחד </w:t>
      </w:r>
      <w:r>
        <w:rPr>
          <w:rFonts w:ascii="David" w:hAnsi="David"/>
          <w:b/>
          <w:b/>
          <w:rtl w:val="true"/>
        </w:rPr>
        <w:t xml:space="preserve">מהם </w:t>
      </w:r>
      <w:r>
        <w:rPr>
          <w:rFonts w:cs="David" w:ascii="David" w:hAnsi="David"/>
          <w:b/>
        </w:rPr>
        <w:t>54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חודשי מאסר בפועל</w:t>
      </w:r>
      <w:r>
        <w:rPr>
          <w:rFonts w:cs="David" w:ascii="David" w:hAnsi="David"/>
          <w:b/>
          <w:rtl w:val="true"/>
        </w:rPr>
        <w:t>.</w:t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>
          <w:rFonts w:ascii="David" w:hAnsi="David" w:cs="David"/>
          <w:b/>
        </w:rPr>
      </w:pPr>
      <w:r>
        <w:rPr>
          <w:rFonts w:ascii="David" w:hAnsi="David"/>
          <w:b/>
          <w:b/>
          <w:rtl w:val="true"/>
        </w:rPr>
        <w:t>במקרה שלפנינו הנאשמים הורשעו בעבירות נשק בלבד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נסיבות ביצוע העבירה חמורות מאלו שהיו בעניין פלוני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אך חמורות פחות מאלו שנדונו בעניין חסארמה בו הורשעו הנאשמים בעבירות נוספת מלבד עבירות הנשק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 xml:space="preserve">נדגיש עוד כי במקרה שלפנינו מדובר בעבירות נשק המתייחסות לשני כלי נשק 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ארוכים</w:t>
      </w:r>
      <w:r>
        <w:rPr>
          <w:rFonts w:cs="David" w:ascii="David" w:hAnsi="David"/>
          <w:b/>
          <w:rtl w:val="true"/>
        </w:rPr>
        <w:t xml:space="preserve">", </w:t>
      </w:r>
      <w:r>
        <w:rPr>
          <w:rFonts w:ascii="David" w:hAnsi="David"/>
          <w:b/>
          <w:b/>
          <w:rtl w:val="true"/>
        </w:rPr>
        <w:t>שבוצעו בנסיבות חמורות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/>
        <w:ind w:firstLine="56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ניתן גם להפנות למקרים הבאים</w:t>
      </w:r>
      <w:r>
        <w:rPr>
          <w:rFonts w:cs="David" w:ascii="David" w:hAnsi="David"/>
          <w:rtl w:val="true"/>
        </w:rPr>
        <w:t xml:space="preserve">: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309/22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ביאדסה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10.5.2022</w:t>
      </w:r>
      <w:r>
        <w:rPr>
          <w:rFonts w:cs="David" w:ascii="David" w:hAnsi="David"/>
          <w:rtl w:val="true"/>
        </w:rPr>
        <w:t>) 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בו </w:t>
      </w:r>
      <w:r>
        <w:rPr>
          <w:rFonts w:ascii="David" w:hAnsi="David"/>
          <w:rtl w:val="true"/>
        </w:rPr>
        <w:t>נדון עניינו של מי שהורשע בהחזקה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שני 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 מדובר היה במי שנסע ברכב כשהוא מוביל רובה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מחסנית תואמת ובה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וכן אקדח 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אוטומטי טעון במחסנית תואמת שמכילה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ומחסנית נוספת שמכילה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</w:t>
      </w:r>
      <w:r>
        <w:rPr>
          <w:rFonts w:ascii="David" w:hAnsi="David"/>
          <w:rtl w:val="true"/>
        </w:rPr>
        <w:t xml:space="preserve"> קבע מתחם שנע בין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גזר על ה</w:t>
      </w:r>
      <w:r>
        <w:rPr>
          <w:rFonts w:ascii="David" w:hAnsi="David"/>
          <w:rtl w:val="true"/>
        </w:rPr>
        <w:t>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על סמך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בפועל בצירוף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התערב בקולת העונש וראה להחמירו ולהעמידו על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567" w:end="0"/>
        <w:jc w:val="both"/>
        <w:rPr/>
      </w:pP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1658/20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מאחנה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</w:t>
      </w:r>
      <w:r>
        <w:rPr>
          <w:rFonts w:cs="David" w:ascii="David" w:hAnsi="David"/>
        </w:rPr>
        <w:t>.6</w:t>
      </w:r>
      <w:r>
        <w:rPr>
          <w:rFonts w:cs="David" w:ascii="David" w:hAnsi="David"/>
        </w:rPr>
        <w:t>.</w:t>
      </w:r>
      <w:r>
        <w:rPr>
          <w:rFonts w:cs="David" w:ascii="David" w:hAnsi="David"/>
        </w:rPr>
        <w:t>20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נדחה ערעורו של מי שהורשע בעבירות של נשיאה והובלה של נשק ורכישת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ונגזר עליו עונש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במקרה הנדון רכש המערער נשק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בית המשפט העליון דחה את הערעור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שציין כי העונש שהוטל על המערער הינו מאוזן ואולי אף מקל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80" w:after="280"/>
        <w:ind w:firstLine="510" w:start="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לבסוף נפנה לדברים שבית המשפט העליון ציין בעניין אגבאריה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 w:before="280" w:after="280"/>
        <w:ind w:start="5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before="280" w:after="280"/>
        <w:ind w:start="850" w:end="1276"/>
        <w:contextualSpacing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אשר למדיניות הענישה הנוהגת בעבירות שבענייננו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עבירות הנשק מצויות על סדר יומו של בית משפט זה דרך שגרה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עובדה זו מהווה השתקפות של תמונת האלימות והפשיעה בנשק הגואה בחברה הישראלית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ובחברה הערבית בפרט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של תמונת הקורבנות מעבירות הנשק המציגה גידול מידי שנה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ושל רמת האכיפה בכל המתייחס להחזקת נשק לא חוקי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כבר תואר כי המצב הגיע לכדי מצב חירום לאומי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על רקע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ניכרת בפסיקה מגמה של הקשחת מדיניות הענישה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תוך מתן משקל מרכזי לשיקול של הרתעת הכלל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1695/22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גנאים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29.3.2022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3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309/22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ביאדסה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10.5.2022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ביאדסה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ענישה זו כוללת לרוב עונשי מאסר ממושכים לריצוי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המושתים גם על נאשמים צעירים נעדרי עבר פלילי </w:t>
      </w:r>
      <w:r>
        <w:rPr>
          <w:rFonts w:cs="David" w:ascii="David" w:hAnsi="David"/>
          <w:b/>
          <w:bCs/>
          <w:rtl w:val="true"/>
        </w:rPr>
        <w:t>(</w:t>
      </w:r>
      <w:hyperlink r:id="rId3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5330/20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ענבתאוי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22.11.2020</w:t>
      </w:r>
      <w:r>
        <w:rPr>
          <w:rFonts w:cs="David" w:ascii="David" w:hAnsi="David"/>
          <w:b/>
          <w:bCs/>
          <w:rtl w:val="true"/>
        </w:rPr>
        <w:t>))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80" w:after="280"/>
        <w:ind w:start="57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280"/>
        <w:ind w:hanging="0" w:start="0" w:end="0"/>
        <w:contextualSpacing/>
        <w:jc w:val="both"/>
        <w:rPr/>
      </w:pP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אני קובע כי מתחם העונש בנסיבות מקרה זה נע 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תקופות המאסר שיוטלו על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אינני סבור כי יש לכלול קנס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 w:before="280" w:after="280"/>
        <w:ind w:start="57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280" w:after="280"/>
        <w:ind w:start="57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נסיבות שאינן קשורות בביצוע העבירות</w:t>
      </w:r>
    </w:p>
    <w:p>
      <w:pPr>
        <w:pStyle w:val="ListParagraph"/>
        <w:spacing w:lineRule="auto" w:line="360" w:before="280" w:after="280"/>
        <w:ind w:start="57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280"/>
        <w:ind w:hanging="0" w:start="0" w:end="0"/>
        <w:contextualSpacing/>
        <w:jc w:val="both"/>
        <w:rPr/>
      </w:pPr>
      <w:r>
        <w:rPr>
          <w:rFonts w:ascii="David" w:hAnsi="David"/>
          <w:rtl w:val="true"/>
        </w:rPr>
        <w:t xml:space="preserve">בגזירת העונש בגדרי מתחם העונש ההולם יש לשקול את הנסיבות שאינן קשורות בביצוע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hyperlink r:id="rId40"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במקרה שלפנינו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שקלתי את הש</w:t>
      </w:r>
      <w:r>
        <w:rPr>
          <w:rFonts w:ascii="David" w:hAnsi="David"/>
          <w:rtl w:val="true"/>
        </w:rPr>
        <w:t>יקולים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 w:before="280" w:after="280"/>
        <w:ind w:start="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/>
      </w:pPr>
      <w:r>
        <w:rPr>
          <w:rFonts w:ascii="David" w:hAnsi="David"/>
          <w:i/>
          <w:i/>
          <w:iCs/>
          <w:rtl w:val="true"/>
        </w:rPr>
        <w:t>הרשעות 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בעוד שלנאשם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שתי הרשעות קודמות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האחת מיום </w:t>
      </w:r>
      <w:r>
        <w:rPr>
          <w:rFonts w:cs="David" w:ascii="David" w:hAnsi="David"/>
        </w:rPr>
        <w:t>15.1.2013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 של החזקת ונשיאת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וחבלה כשהעבריין מזוין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בגינן הוטל עליו עונש מאסר של </w:t>
      </w:r>
      <w:r>
        <w:rPr>
          <w:rFonts w:cs="David" w:ascii="David" w:hAnsi="David"/>
        </w:rPr>
        <w:t>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והשנייה הרשעה מיום </w:t>
      </w:r>
      <w:r>
        <w:rPr>
          <w:rFonts w:cs="David" w:ascii="David" w:hAnsi="David"/>
        </w:rPr>
        <w:t>9.5.2007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שהתיישנה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 חבלה כשהעבריין מזוין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פציעה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גניבה מרכב ואיומים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בגינן הוטל עליו עונש מאסר של חודשיים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>
          <w:rFonts w:ascii="David" w:hAnsi="David" w:cs="David"/>
          <w:i/>
          <w:i/>
          <w:iCs/>
        </w:rPr>
      </w:pPr>
      <w:r>
        <w:rPr>
          <w:rFonts w:cs="David" w:ascii="David" w:hAnsi="David"/>
          <w:i/>
          <w:iCs/>
          <w:rtl w:val="true"/>
        </w:rPr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/>
      </w:pPr>
      <w:r>
        <w:rPr>
          <w:rFonts w:ascii="David" w:hAnsi="David"/>
          <w:i/>
          <w:i/>
          <w:iCs/>
          <w:rtl w:val="true"/>
        </w:rPr>
        <w:t>פציעת</w:t>
      </w:r>
      <w:r>
        <w:rPr>
          <w:rFonts w:ascii="David" w:hAnsi="David"/>
          <w:i/>
          <w:i/>
          <w:iCs/>
          <w:rtl w:val="true"/>
        </w:rPr>
        <w:t xml:space="preserve"> הנאשמים</w:t>
      </w:r>
      <w:r>
        <w:rPr>
          <w:rFonts w:ascii="David" w:hAnsi="David"/>
          <w:rtl w:val="true"/>
        </w:rPr>
        <w:t xml:space="preserve"> – כעולה מעובדות כתב האישום במהלך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נפצע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לאחר שנס מפני השוטרים </w:t>
      </w:r>
      <w:r>
        <w:rPr>
          <w:rFonts w:ascii="David" w:hAnsi="David"/>
          <w:rtl w:val="true"/>
        </w:rPr>
        <w:t xml:space="preserve">אף </w:t>
      </w:r>
      <w:r>
        <w:rPr>
          <w:rFonts w:ascii="David" w:hAnsi="David"/>
          <w:rtl w:val="true"/>
        </w:rPr>
        <w:t>בתום המרדף של הניידת לאחר הרכב בו נסע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נגרם פצע בדופן בית החזה ובית השחי משמאל וכן פצע בזרוע שמאל קדמי ואחורי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פציעות שיכולות להתאים לכניסת ויציאת כדור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אני סבור כי </w:t>
      </w:r>
      <w:r>
        <w:rPr>
          <w:rFonts w:ascii="David" w:hAnsi="David"/>
          <w:rtl w:val="true"/>
        </w:rPr>
        <w:t xml:space="preserve">פציעת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 שיקול שעשוי להקל עם הנאשם במיקום העונש בתוך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יודגש כי שקילת עובדה זו </w:t>
      </w:r>
      <w:r>
        <w:rPr>
          <w:rFonts w:ascii="David" w:hAnsi="David"/>
          <w:rtl w:val="true"/>
        </w:rPr>
        <w:t xml:space="preserve">היא תולדה של </w:t>
      </w:r>
      <w:r>
        <w:rPr>
          <w:rFonts w:ascii="David" w:hAnsi="David"/>
          <w:rtl w:val="true"/>
        </w:rPr>
        <w:t>התוצאה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לים 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העובדה כי התחשבתי בפציעתו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 משמעותה הטלת דופי בדרך פעולתם של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נתתי את דעתי לכך שגם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נפגע עקב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התאונה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שהתרחשה בתום המרדף</w:t>
      </w:r>
      <w:r>
        <w:rPr>
          <w:rFonts w:ascii="David" w:hAnsi="David"/>
          <w:rtl w:val="true"/>
        </w:rPr>
        <w:t xml:space="preserve"> והתלונן על כאבים לרבות כאבים ברגל ימין ו</w:t>
      </w:r>
      <w:r>
        <w:rPr>
          <w:rFonts w:ascii="David" w:hAnsi="David"/>
          <w:rtl w:val="true"/>
        </w:rPr>
        <w:t>על הגבלה בתנועה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 תלונותיו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פונה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למרכז הרפואי לגליל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נבדק ושוחרר באותו 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i/>
          <w:i/>
          <w:iCs/>
          <w:rtl w:val="true"/>
        </w:rPr>
        <w:t>הודאה</w:t>
      </w:r>
      <w:r>
        <w:rPr>
          <w:rFonts w:ascii="David" w:hAnsi="David"/>
          <w:rtl w:val="true"/>
        </w:rPr>
        <w:t xml:space="preserve"> – הנאשמים הודו בעובדות כתב אישום מתוקן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יצוין כי הודאת הנאשמים באה לאחר שהתקיימו מספר ישיבות הוכחות בהן העידו מרבית עדי התביעה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i/>
          <w:i/>
          <w:iCs/>
          <w:rtl w:val="true"/>
        </w:rPr>
        <w:t>נסיבות 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נתתי דעתי לנסיבותיהם האישיות של הנאשמים וכן להשפעת המאסר עליהם ועל משפחתם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היתר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הולדת בנו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בהיותו 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כי לידתו לוותה בסיבוכים רפואיים וכי הוא סובל מעיכוב התפתחותי בשל 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280" w:after="280"/>
        <w:ind w:firstLine="567" w:start="0" w:end="0"/>
        <w:contextualSpacing/>
        <w:jc w:val="both"/>
        <w:rPr/>
      </w:pPr>
      <w:r>
        <w:rPr>
          <w:rFonts w:ascii="David" w:hAnsi="David"/>
          <w:i/>
          <w:i/>
          <w:iCs/>
          <w:rtl w:val="true"/>
        </w:rPr>
        <w:t>תקופת 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 לבסוף נתתי דעתי לעובדה כי הנאשמים נתונים במעצר מאז </w:t>
      </w:r>
      <w:r>
        <w:rPr>
          <w:rFonts w:ascii="David" w:hAnsi="David"/>
          <w:rtl w:val="true"/>
        </w:rPr>
        <w:t xml:space="preserve">יום </w:t>
      </w:r>
      <w:r>
        <w:rPr>
          <w:rFonts w:cs="David" w:ascii="David" w:hAnsi="David"/>
        </w:rPr>
        <w:t>22.11.2022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80" w:after="280"/>
        <w:ind w:start="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280"/>
        <w:ind w:hanging="0" w:start="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לפני שאגזור את דינם של הנאשמים אעיר לגבי היחס בין שני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ברי כי עונשו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אמור להיות חמור יותר מעונשו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נוכח העובדה כי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משמעותיות בין היתר בעבירות 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ואילו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 הרשעות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פציעתו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במהלך האירוע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הגם שהיא הייתה תוצאה של התנהגותו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הביאה אותי לכלל מסקנה שיש להטיל על שניהם עונש זהה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גזר הדין</w:t>
      </w:r>
    </w:p>
    <w:p>
      <w:pPr>
        <w:pStyle w:val="ListParagraph"/>
        <w:numPr>
          <w:ilvl w:val="0"/>
          <w:numId w:val="2"/>
        </w:numPr>
        <w:spacing w:lineRule="auto" w:line="360" w:before="0" w:after="280"/>
        <w:ind w:hanging="0" w:start="0" w:end="0"/>
        <w:contextualSpacing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בשים לב למתחם העונש שקבעתי ולשיקולים הקשורים לגזירת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הנאשם </w:t>
      </w:r>
      <w:r>
        <w:rPr>
          <w:rFonts w:cs="David" w:ascii="David" w:hAnsi="David"/>
          <w:u w:val="single"/>
        </w:rPr>
        <w:t>1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Fonts w:ascii="David" w:hAnsi="David"/>
          <w:rtl w:val="true"/>
        </w:rPr>
        <w:t xml:space="preserve">מאסר בפועל לתקופה של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בניכוי ימי מעצרו החל מיום </w:t>
      </w:r>
      <w:r>
        <w:rPr>
          <w:rFonts w:cs="David" w:ascii="David" w:hAnsi="David"/>
        </w:rPr>
        <w:t>22.11.2022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והתנאי כי הנאשם לא יעבור בתוך שלוש שנים עבירת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ואולם אם יורשע בעביר</w:t>
      </w:r>
      <w:r>
        <w:rPr>
          <w:rFonts w:ascii="David" w:hAnsi="David"/>
          <w:rtl w:val="true"/>
        </w:rPr>
        <w:t xml:space="preserve">ת נשק מסוג עוון </w:t>
      </w:r>
      <w:r>
        <w:rPr>
          <w:rFonts w:ascii="David" w:hAnsi="David"/>
          <w:rtl w:val="true"/>
        </w:rPr>
        <w:t>יישא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בלבד מתוכם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הנאשם </w:t>
      </w:r>
      <w:r>
        <w:rPr>
          <w:rFonts w:cs="David" w:ascii="David" w:hAnsi="David"/>
          <w:u w:val="single"/>
        </w:rPr>
        <w:t>2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Fonts w:ascii="David" w:hAnsi="David"/>
          <w:rtl w:val="true"/>
        </w:rPr>
        <w:t xml:space="preserve">מאסר בפועל לתקופה של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בניכוי ימי מעצרו החל מיום </w:t>
      </w:r>
      <w:r>
        <w:rPr>
          <w:rFonts w:cs="David" w:ascii="David" w:hAnsi="David"/>
        </w:rPr>
        <w:t>22.11.2022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והתנאי כי הנאשם לא יעבור בתוך שלוש שנים עבירת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ואולם אם יורשע בעביר</w:t>
      </w:r>
      <w:r>
        <w:rPr>
          <w:rFonts w:ascii="David" w:hAnsi="David"/>
          <w:rtl w:val="true"/>
        </w:rPr>
        <w:t xml:space="preserve">ת נשק מסוג עוון </w:t>
      </w:r>
      <w:r>
        <w:rPr>
          <w:rFonts w:ascii="David" w:hAnsi="David"/>
          <w:rtl w:val="true"/>
        </w:rPr>
        <w:t>יישא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בלבד מתוכם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הנאשמים 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מוחמד עלי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38886-12-22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אברהים סיידה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ascii="David" w:hAnsi="David" w:cs="David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567"/>
        </w:tabs>
        <w:ind w:start="0" w:hanging="0"/>
      </w:pPr>
      <w:rPr>
        <w:b w:val="false"/>
        <w:bCs w:val="false"/>
        <w:rFonts w:ascii="David" w:hAnsi="David" w:cs="David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ascii="David" w:hAnsi="David" w:cs="David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</w:rPr>
  </w:style>
  <w:style w:type="character" w:styleId="WW8Num2z0">
    <w:name w:val="WW8Num2z0"/>
    <w:qFormat/>
    <w:rPr>
      <w:rFonts w:ascii="David" w:hAnsi="David" w:cs="David"/>
      <w:b w:val="false"/>
      <w:bCs w:val="false"/>
    </w:rPr>
  </w:style>
  <w:style w:type="character" w:styleId="WW8Num3z0">
    <w:name w:val="WW8Num3z0"/>
    <w:qFormat/>
    <w:rPr>
      <w:rFonts w:ascii="David" w:hAnsi="David" w:cs="David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g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c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i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10485615" TargetMode="External"/><Relationship Id="rId19" Type="http://schemas.openxmlformats.org/officeDocument/2006/relationships/hyperlink" Target="http://www.nevo.co.il/case/5852404" TargetMode="External"/><Relationship Id="rId20" Type="http://schemas.openxmlformats.org/officeDocument/2006/relationships/hyperlink" Target="http://www.nevo.co.il/case/7821883" TargetMode="External"/><Relationship Id="rId21" Type="http://schemas.openxmlformats.org/officeDocument/2006/relationships/hyperlink" Target="http://www.nevo.co.il/case/30019073" TargetMode="External"/><Relationship Id="rId22" Type="http://schemas.openxmlformats.org/officeDocument/2006/relationships/hyperlink" Target="http://www.nevo.co.il/case/25824863" TargetMode="External"/><Relationship Id="rId23" Type="http://schemas.openxmlformats.org/officeDocument/2006/relationships/hyperlink" Target="http://www.nevo.co.il/case/27309272" TargetMode="External"/><Relationship Id="rId24" Type="http://schemas.openxmlformats.org/officeDocument/2006/relationships/hyperlink" Target="http://www.nevo.co.il/case/26905927" TargetMode="External"/><Relationship Id="rId25" Type="http://schemas.openxmlformats.org/officeDocument/2006/relationships/hyperlink" Target="http://www.nevo.co.il/case/27708542" TargetMode="External"/><Relationship Id="rId26" Type="http://schemas.openxmlformats.org/officeDocument/2006/relationships/hyperlink" Target="http://www.nevo.co.il/case/27734980" TargetMode="External"/><Relationship Id="rId27" Type="http://schemas.openxmlformats.org/officeDocument/2006/relationships/hyperlink" Target="http://www.nevo.co.il/case/28200855" TargetMode="External"/><Relationship Id="rId28" Type="http://schemas.openxmlformats.org/officeDocument/2006/relationships/hyperlink" Target="http://www.nevo.co.il/case/28266138" TargetMode="External"/><Relationship Id="rId29" Type="http://schemas.openxmlformats.org/officeDocument/2006/relationships/hyperlink" Target="http://www.nevo.co.il/law/70301/144.g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3750625" TargetMode="External"/><Relationship Id="rId32" Type="http://schemas.openxmlformats.org/officeDocument/2006/relationships/hyperlink" Target="http://www.nevo.co.il/case/28883087" TargetMode="External"/><Relationship Id="rId33" Type="http://schemas.openxmlformats.org/officeDocument/2006/relationships/hyperlink" Target="http://www.nevo.co.il/case/30168342" TargetMode="External"/><Relationship Id="rId34" Type="http://schemas.openxmlformats.org/officeDocument/2006/relationships/hyperlink" Target="http://www.nevo.co.il/case/30003285" TargetMode="External"/><Relationship Id="rId35" Type="http://schemas.openxmlformats.org/officeDocument/2006/relationships/hyperlink" Target="http://www.nevo.co.il/case/28243273" TargetMode="External"/><Relationship Id="rId36" Type="http://schemas.openxmlformats.org/officeDocument/2006/relationships/hyperlink" Target="http://www.nevo.co.il/case/26510968" TargetMode="External"/><Relationship Id="rId37" Type="http://schemas.openxmlformats.org/officeDocument/2006/relationships/hyperlink" Target="http://www.nevo.co.il/case/28384637" TargetMode="External"/><Relationship Id="rId38" Type="http://schemas.openxmlformats.org/officeDocument/2006/relationships/hyperlink" Target="http://www.nevo.co.il/case/28243273" TargetMode="External"/><Relationship Id="rId39" Type="http://schemas.openxmlformats.org/officeDocument/2006/relationships/hyperlink" Target="http://www.nevo.co.il/case/26888657" TargetMode="External"/><Relationship Id="rId40" Type="http://schemas.openxmlformats.org/officeDocument/2006/relationships/hyperlink" Target="http://www.nevo.co.il/law/70301/40j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2024-06-27T06:43:00Z</dcterms:created>
  <dc:creator> </dc:creator>
  <dc:description/>
  <cp:keywords/>
  <dc:language>en-IL</dc:language>
  <cp:lastModifiedBy>h1</cp:lastModifiedBy>
  <dcterms:modified xsi:type="dcterms:W3CDTF">2024-06-27T06:43:00Z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אברהים סיידה;מחמוד עריד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10485615;5852404;7821883;30019073;25824863;27309272;26905927;27708542;27734980;28200855;28266138;23750625;28883087;30168342;30003285;28243273:2;26510968;28384637;26888657</vt:lpwstr>
  </property>
  <property fmtid="{D5CDD505-2E9C-101B-9397-08002B2CF9AE}" pid="9" name="CITY">
    <vt:lpwstr>חי'</vt:lpwstr>
  </property>
  <property fmtid="{D5CDD505-2E9C-101B-9397-08002B2CF9AE}" pid="10" name="DATE">
    <vt:lpwstr>20240624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מוחמד עלי</vt:lpwstr>
  </property>
  <property fmtid="{D5CDD505-2E9C-101B-9397-08002B2CF9AE}" pid="14" name="LAWLISTTMP1">
    <vt:lpwstr>70301/144.a;144.b;029;040c;040i;144.g;40ja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38886</vt:lpwstr>
  </property>
  <property fmtid="{D5CDD505-2E9C-101B-9397-08002B2CF9AE}" pid="22" name="NEWPARTB">
    <vt:lpwstr>12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390020240624</vt:lpwstr>
  </property>
  <property fmtid="{D5CDD505-2E9C-101B-9397-08002B2CF9AE}" pid="34" name="TYPE_N_DATE">
    <vt:lpwstr>39020240624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