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39057-06-10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קלימובסקי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סטפן קלימובסקי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מטעם</w:t>
      </w:r>
      <w:bookmarkEnd w:id="2"/>
      <w:r>
        <w:rPr>
          <w:rtl w:val="true"/>
        </w:rPr>
        <w:t xml:space="preserve"> 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עידית רייכרט </w:t>
      </w:r>
    </w:p>
    <w:p>
      <w:pPr>
        <w:pStyle w:val="Normal"/>
        <w:ind w:end="0"/>
        <w:jc w:val="start"/>
        <w:rPr/>
      </w:pPr>
      <w:r>
        <w:rPr>
          <w:rtl w:val="true"/>
        </w:rPr>
        <w:t>מטעם 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עתאמנה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  <w:r>
        <w:rPr>
          <w:b w:val="false"/>
          <w:bCs w:val="false"/>
          <w:u w:val="none"/>
          <w:rtl w:val="true"/>
        </w:rPr>
        <w:t>]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192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firstLine="36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הקדמה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bookmarkStart w:id="9" w:name="ABSTRACT_START"/>
      <w:bookmarkEnd w:id="9"/>
      <w:r>
        <w:rPr>
          <w:rtl w:val="true"/>
        </w:rPr>
        <w:t>הנאשם שלפניי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6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ובעבירה של 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 כתב האישום 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הנאשם נשוי ל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 xml:space="preserve">., </w:t>
      </w:r>
      <w:r>
        <w:rPr>
          <w:rtl w:val="true"/>
        </w:rPr>
        <w:t>והם מתגוררים יחד</w:t>
      </w:r>
      <w:r>
        <w:rPr>
          <w:rtl w:val="true"/>
        </w:rPr>
        <w:t xml:space="preserve">. </w:t>
      </w:r>
      <w:r>
        <w:rPr>
          <w:rtl w:val="true"/>
        </w:rPr>
        <w:t>לנאשם ולל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שלושה ילדים</w:t>
      </w:r>
      <w:r>
        <w:rPr>
          <w:rtl w:val="true"/>
        </w:rPr>
        <w:t xml:space="preserve">, </w:t>
      </w:r>
      <w:r>
        <w:rPr>
          <w:rtl w:val="true"/>
        </w:rPr>
        <w:t>וביניהם א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") </w:t>
      </w:r>
      <w:r>
        <w:rPr>
          <w:rtl w:val="true"/>
        </w:rPr>
        <w:t>שהנה חיילת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אשר מתוקף תפקידה מחזיקה ברובה מסוג </w:t>
      </w:r>
      <w:r>
        <w:rPr/>
        <w:t>M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מקוצר</w:t>
      </w:r>
      <w:r>
        <w:rPr>
          <w:rtl w:val="true"/>
        </w:rPr>
        <w:t xml:space="preserve">, </w:t>
      </w:r>
      <w:r>
        <w:rPr>
          <w:rtl w:val="true"/>
        </w:rPr>
        <w:t xml:space="preserve">שמספרו </w:t>
      </w:r>
      <w:r>
        <w:rPr/>
        <w:t>9392257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ביום </w:t>
      </w:r>
      <w:r>
        <w:rPr/>
        <w:t>17/6/10</w:t>
      </w:r>
      <w:r>
        <w:rPr>
          <w:rtl w:val="true"/>
        </w:rPr>
        <w:t xml:space="preserve">, </w:t>
      </w:r>
      <w:r>
        <w:rPr>
          <w:rtl w:val="true"/>
        </w:rPr>
        <w:t>בשעות הבוקר</w:t>
      </w:r>
      <w:r>
        <w:rPr>
          <w:rtl w:val="true"/>
        </w:rPr>
        <w:t xml:space="preserve">,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>שתה הנאשם לשוכרה</w:t>
      </w:r>
      <w:r>
        <w:rPr>
          <w:rtl w:val="true"/>
        </w:rPr>
        <w:t xml:space="preserve">, </w:t>
      </w:r>
      <w:r>
        <w:rPr>
          <w:rtl w:val="true"/>
        </w:rPr>
        <w:t>על רקע מצוקה כלכלית אליה נקלעה המשפחה</w:t>
      </w:r>
      <w:r>
        <w:rPr>
          <w:rtl w:val="true"/>
        </w:rPr>
        <w:t xml:space="preserve">. </w:t>
      </w:r>
      <w:r>
        <w:rPr>
          <w:rtl w:val="true"/>
        </w:rPr>
        <w:t>באותו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17:30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הגיעה המתלוננת לבית וסיפרה לנאשם אודות מצבה הכלכלי הקשה</w:t>
      </w:r>
      <w:r>
        <w:rPr>
          <w:rtl w:val="true"/>
        </w:rPr>
        <w:t xml:space="preserve">, </w:t>
      </w:r>
      <w:r>
        <w:rPr>
          <w:rtl w:val="true"/>
        </w:rPr>
        <w:t>תוך שהיא פורקת את המחסנית מנשקה</w:t>
      </w:r>
      <w:r>
        <w:rPr>
          <w:rtl w:val="true"/>
        </w:rPr>
        <w:t xml:space="preserve">. </w:t>
      </w:r>
      <w:r>
        <w:rPr>
          <w:rtl w:val="true"/>
        </w:rPr>
        <w:t>בתגובה לכך</w:t>
      </w:r>
      <w:r>
        <w:rPr>
          <w:rtl w:val="true"/>
        </w:rPr>
        <w:t xml:space="preserve">, </w:t>
      </w:r>
      <w:r>
        <w:rPr>
          <w:rtl w:val="true"/>
        </w:rPr>
        <w:t>צעק הנאשם על המתלוננת וקילל אותה</w:t>
      </w:r>
      <w:r>
        <w:rPr>
          <w:rtl w:val="true"/>
        </w:rPr>
        <w:t xml:space="preserve">. </w:t>
      </w:r>
      <w:r>
        <w:rPr>
          <w:rtl w:val="true"/>
        </w:rPr>
        <w:t>מיד בהמשך חטף הנאשם את הנשק מידיה של בתו ללא רשות על פי דין לאחוז בו</w:t>
      </w:r>
      <w:r>
        <w:rPr>
          <w:rtl w:val="true"/>
        </w:rPr>
        <w:t xml:space="preserve">, </w:t>
      </w:r>
      <w:r>
        <w:rPr>
          <w:rtl w:val="true"/>
        </w:rPr>
        <w:t>פתח את דלת הבית וירד במדרגות תוך שהוא צועק</w:t>
      </w:r>
      <w:r>
        <w:rPr>
          <w:rtl w:val="true"/>
        </w:rPr>
        <w:t>: "</w:t>
      </w:r>
      <w:r>
        <w:rPr>
          <w:rtl w:val="true"/>
        </w:rPr>
        <w:t>לא להתקרב אלי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המתלוננת ובני המשפחה דלקו אחר הנאשם</w:t>
      </w:r>
      <w:r>
        <w:rPr>
          <w:rtl w:val="true"/>
        </w:rPr>
        <w:t xml:space="preserve">, </w:t>
      </w:r>
      <w:r>
        <w:rPr>
          <w:rtl w:val="true"/>
        </w:rPr>
        <w:t>צעקו לעברו כי ישיב את הנשק וניסו ליטול את הנשק מידיו</w:t>
      </w:r>
      <w:r>
        <w:rPr>
          <w:rtl w:val="true"/>
        </w:rPr>
        <w:t xml:space="preserve">, </w:t>
      </w:r>
      <w:r>
        <w:rPr>
          <w:rtl w:val="true"/>
        </w:rPr>
        <w:t>אך הנאשם לא שעה לבקשותיהם</w:t>
      </w:r>
      <w:r>
        <w:rPr>
          <w:rtl w:val="true"/>
        </w:rPr>
        <w:t xml:space="preserve">, </w:t>
      </w:r>
      <w:r>
        <w:rPr>
          <w:rtl w:val="true"/>
        </w:rPr>
        <w:t>התנגד בגופו</w:t>
      </w:r>
      <w:r>
        <w:rPr>
          <w:rtl w:val="true"/>
        </w:rPr>
        <w:t xml:space="preserve">, </w:t>
      </w:r>
      <w:r>
        <w:rPr>
          <w:rtl w:val="true"/>
        </w:rPr>
        <w:t>דחף את המתלוננת ומנע ממנה ליטול ממנו את הנשק</w:t>
      </w:r>
      <w:r>
        <w:rPr>
          <w:rtl w:val="true"/>
        </w:rPr>
        <w:t xml:space="preserve">. </w:t>
      </w:r>
      <w:r>
        <w:rPr>
          <w:rtl w:val="true"/>
        </w:rPr>
        <w:t>משהגיע הנאשם לכניסה לבניין דרך את הנשק מספר פעמים</w:t>
      </w:r>
      <w:r>
        <w:rPr>
          <w:rtl w:val="true"/>
        </w:rPr>
        <w:t xml:space="preserve">, </w:t>
      </w:r>
      <w:r>
        <w:rPr>
          <w:rtl w:val="true"/>
        </w:rPr>
        <w:t>לחץ על ההדק מספר פעמים תוך שהוא מכוון את הנשק לעבר ראשו</w:t>
      </w:r>
      <w:r>
        <w:rPr>
          <w:rtl w:val="true"/>
        </w:rPr>
        <w:t xml:space="preserve">, </w:t>
      </w:r>
      <w:r>
        <w:rPr>
          <w:rtl w:val="true"/>
        </w:rPr>
        <w:t>לעבר עוברי אורח ולעבר המתלוננת ובני 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למקום הוזעק השוטר זאב יוסף</w:t>
      </w:r>
      <w:r>
        <w:rPr>
          <w:rtl w:val="true"/>
        </w:rPr>
        <w:t xml:space="preserve">, </w:t>
      </w:r>
      <w:r>
        <w:rPr>
          <w:rtl w:val="true"/>
        </w:rPr>
        <w:t xml:space="preserve">שהנו שכנו של הנאשם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השוטר</w:t>
      </w:r>
      <w:r>
        <w:rPr>
          <w:rtl w:val="true"/>
        </w:rPr>
        <w:t xml:space="preserve">"). </w:t>
      </w:r>
      <w:r>
        <w:rPr>
          <w:rtl w:val="true"/>
        </w:rPr>
        <w:t>השוטר ביקש מהנאשם למסור לו את הנשק ובתגובה ענה לו הנאשם</w:t>
      </w:r>
      <w:r>
        <w:rPr>
          <w:rtl w:val="true"/>
        </w:rPr>
        <w:t xml:space="preserve">, </w:t>
      </w:r>
      <w:r>
        <w:rPr>
          <w:rtl w:val="true"/>
        </w:rPr>
        <w:t>תוך שהוא אוחז בידו האחת בנשק ובידו השנייה מפנה אצבעו תחת סנטרו</w:t>
      </w:r>
      <w:r>
        <w:rPr>
          <w:rtl w:val="true"/>
        </w:rPr>
        <w:t>: "</w:t>
      </w:r>
      <w:r>
        <w:rPr>
          <w:rtl w:val="true"/>
        </w:rPr>
        <w:t>כדור לילדה</w:t>
      </w:r>
      <w:r>
        <w:rPr>
          <w:rtl w:val="true"/>
        </w:rPr>
        <w:t xml:space="preserve">, </w:t>
      </w:r>
      <w:r>
        <w:rPr>
          <w:rtl w:val="true"/>
        </w:rPr>
        <w:t>כדור בשבילך וכדור בשבילי</w:t>
      </w:r>
      <w:r>
        <w:rPr>
          <w:rtl w:val="true"/>
        </w:rPr>
        <w:t xml:space="preserve">". </w:t>
      </w:r>
      <w:r>
        <w:rPr>
          <w:rtl w:val="true"/>
        </w:rPr>
        <w:t>בהמשך הצליח השוטר לחלץ הנשק מידיו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ההתנהגות חסרת הריסון העולה מכתב האישום המתוקן מלמדת על מסוכנותו של הנאשם</w:t>
      </w:r>
      <w:r>
        <w:rPr>
          <w:rtl w:val="true"/>
        </w:rPr>
        <w:t xml:space="preserve">, </w:t>
      </w:r>
      <w:r>
        <w:rPr>
          <w:rtl w:val="true"/>
        </w:rPr>
        <w:t>כאשר בהיותו שיכור חטף את נשקה הצבאי של בתו</w:t>
      </w:r>
      <w:r>
        <w:rPr>
          <w:rtl w:val="true"/>
        </w:rPr>
        <w:t xml:space="preserve">, </w:t>
      </w:r>
      <w:r>
        <w:rPr>
          <w:rtl w:val="true"/>
        </w:rPr>
        <w:t>לנגד עיני ילדיו</w:t>
      </w:r>
      <w:r>
        <w:rPr>
          <w:rtl w:val="true"/>
        </w:rPr>
        <w:t xml:space="preserve">, </w:t>
      </w:r>
      <w:r>
        <w:rPr>
          <w:rtl w:val="true"/>
        </w:rPr>
        <w:t>ואיים לירות באחרים ובעצמו</w:t>
      </w:r>
      <w:r>
        <w:rPr>
          <w:rtl w:val="true"/>
        </w:rPr>
        <w:t xml:space="preserve">. </w:t>
      </w:r>
      <w:r>
        <w:rPr>
          <w:rtl w:val="true"/>
        </w:rPr>
        <w:t>במעשים המתוארים היה טמון פוטנציאל גבוה לפגיעה בנפש</w:t>
      </w:r>
      <w:r>
        <w:rPr>
          <w:rtl w:val="true"/>
        </w:rPr>
        <w:t xml:space="preserve">. </w:t>
      </w:r>
      <w:r>
        <w:rPr>
          <w:rtl w:val="true"/>
        </w:rPr>
        <w:t>אף שמעשי הנאשם בוצעו על רקע מצוקה כלכלית ונפשית שחווה</w:t>
      </w:r>
      <w:r>
        <w:rPr>
          <w:rtl w:val="true"/>
        </w:rPr>
        <w:t xml:space="preserve">, </w:t>
      </w:r>
      <w:r>
        <w:rPr>
          <w:rtl w:val="true"/>
        </w:rPr>
        <w:t>שהנאשם נטל אחריות חלקית בלבד למעשיו</w:t>
      </w:r>
      <w:r>
        <w:rPr>
          <w:rtl w:val="true"/>
        </w:rPr>
        <w:t xml:space="preserve">, </w:t>
      </w:r>
      <w:r>
        <w:rPr>
          <w:rtl w:val="true"/>
        </w:rPr>
        <w:t>וטען שניסה לפגוע רק בעצמו</w:t>
      </w:r>
      <w:r>
        <w:rPr>
          <w:rtl w:val="true"/>
        </w:rPr>
        <w:t xml:space="preserve">, </w:t>
      </w:r>
      <w:r>
        <w:rPr>
          <w:rtl w:val="true"/>
        </w:rPr>
        <w:t>בניגוד למתואר בכתב האישום המתוקן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ראוי להטיל על הנאשם עונש מאסר לתקופה ממושכת</w:t>
      </w:r>
      <w:r>
        <w:rPr>
          <w:rtl w:val="true"/>
        </w:rPr>
        <w:t xml:space="preserve">, </w:t>
      </w:r>
      <w:r>
        <w:rPr>
          <w:rtl w:val="true"/>
        </w:rPr>
        <w:t>ועונש מאסר 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הנאשם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הנאשם הורשע בעבירות ברף החומרה הפחות ביותר מבין עבירות הנשק</w:t>
      </w:r>
      <w:r>
        <w:rPr>
          <w:rtl w:val="true"/>
        </w:rPr>
        <w:t xml:space="preserve">, </w:t>
      </w:r>
      <w:r>
        <w:rPr>
          <w:rtl w:val="true"/>
        </w:rPr>
        <w:t>אשר ביצוען אינו מחייב את בית המשפט בנקיטת ענישה מחמירה של מאסר ממושך</w:t>
      </w:r>
      <w:r>
        <w:rPr>
          <w:rtl w:val="true"/>
        </w:rPr>
        <w:t xml:space="preserve">. </w:t>
      </w:r>
      <w:r>
        <w:rPr>
          <w:rtl w:val="true"/>
        </w:rPr>
        <w:t>העבירות בוצעו על רקע מצוקה סוציו</w:t>
      </w:r>
      <w:r>
        <w:rPr>
          <w:rtl w:val="true"/>
        </w:rPr>
        <w:t>-</w:t>
      </w:r>
      <w:r>
        <w:rPr>
          <w:rtl w:val="true"/>
        </w:rPr>
        <w:t>אקונומית קשה ומתמשכת</w:t>
      </w:r>
      <w:r>
        <w:rPr>
          <w:rtl w:val="true"/>
        </w:rPr>
        <w:t xml:space="preserve">, </w:t>
      </w:r>
      <w:r>
        <w:rPr>
          <w:rtl w:val="true"/>
        </w:rPr>
        <w:t>אשר הובילה את הנאשם לדיכאון ולמצב נפשי קשה</w:t>
      </w:r>
      <w:r>
        <w:rPr>
          <w:rtl w:val="true"/>
        </w:rPr>
        <w:t xml:space="preserve">, </w:t>
      </w:r>
      <w:r>
        <w:rPr>
          <w:rtl w:val="true"/>
        </w:rPr>
        <w:t>כאשר נטילת הנשק מידי הבת</w:t>
      </w:r>
      <w:r>
        <w:rPr>
          <w:rtl w:val="true"/>
        </w:rPr>
        <w:t xml:space="preserve">, </w:t>
      </w:r>
      <w:r>
        <w:rPr>
          <w:rtl w:val="true"/>
        </w:rPr>
        <w:t>הייתה במטרה ליטול את חייו במו ידיו</w:t>
      </w:r>
      <w:r>
        <w:rPr>
          <w:rtl w:val="true"/>
        </w:rPr>
        <w:t xml:space="preserve">. </w:t>
      </w:r>
      <w:r>
        <w:rPr>
          <w:rtl w:val="true"/>
        </w:rPr>
        <w:t>יש להדגיש כי האירוע הסתיים בכך שהנאשם מסר מרצונו את הנשק לשכנו השוטר</w:t>
      </w:r>
      <w:r>
        <w:rPr>
          <w:rtl w:val="true"/>
        </w:rPr>
        <w:t xml:space="preserve">, </w:t>
      </w:r>
      <w:r>
        <w:rPr>
          <w:rtl w:val="true"/>
        </w:rPr>
        <w:t>והתלווה אליו מרצונו לתחנת 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עוד ציין ב</w:t>
      </w:r>
      <w:r>
        <w:rPr>
          <w:rtl w:val="true"/>
        </w:rPr>
        <w:t>"</w:t>
      </w:r>
      <w:r>
        <w:rPr>
          <w:rtl w:val="true"/>
        </w:rPr>
        <w:t>כ הנאשם כי לנאשם אין עבר פלילי</w:t>
      </w:r>
      <w:r>
        <w:rPr>
          <w:rtl w:val="true"/>
        </w:rPr>
        <w:t xml:space="preserve">, </w:t>
      </w:r>
      <w:r>
        <w:rPr>
          <w:rtl w:val="true"/>
        </w:rPr>
        <w:t>וכי יש להביא בחשבון את הודאתו המהירה של הנאשם במסגרת הסדר טיעון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יש להסתפק בתקופת מעצרו של הנאשם</w:t>
      </w:r>
      <w:r>
        <w:rPr>
          <w:rtl w:val="true"/>
        </w:rPr>
        <w:t xml:space="preserve">, </w:t>
      </w:r>
      <w:r>
        <w:rPr>
          <w:rtl w:val="true"/>
        </w:rPr>
        <w:t>ולהימנע מהטלת עונש מאסר ממושך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לדברי הנאשם נסיבות חייו וחיי משפחתו הקשות הובילו אותו למעשים המתוארים בכתב האישום המתוקן</w:t>
      </w:r>
      <w:r>
        <w:rPr>
          <w:rtl w:val="true"/>
        </w:rPr>
        <w:t xml:space="preserve">. </w:t>
      </w:r>
      <w:r>
        <w:rPr>
          <w:rtl w:val="true"/>
        </w:rPr>
        <w:t>עוד לדבריו</w:t>
      </w:r>
      <w:r>
        <w:rPr>
          <w:rtl w:val="true"/>
        </w:rPr>
        <w:t xml:space="preserve">, </w:t>
      </w:r>
      <w:r>
        <w:rPr>
          <w:rtl w:val="true"/>
        </w:rPr>
        <w:t>בנו חלה בסרטן והדבר הוסיף למצוקתו הנפשית</w:t>
      </w:r>
      <w:r>
        <w:rPr>
          <w:rtl w:val="true"/>
        </w:rPr>
        <w:t xml:space="preserve">. </w:t>
      </w:r>
      <w:r>
        <w:rPr>
          <w:rtl w:val="true"/>
        </w:rPr>
        <w:t>לטענתו הוא אינו זוכר איך לקח את הנשק</w:t>
      </w:r>
      <w:r>
        <w:rPr>
          <w:rtl w:val="true"/>
        </w:rPr>
        <w:t xml:space="preserve">, </w:t>
      </w:r>
      <w:r>
        <w:rPr>
          <w:rtl w:val="true"/>
        </w:rPr>
        <w:t>אלא רק זוכר כי החזיק את הנשק מתחת לסנטר</w:t>
      </w:r>
      <w:r>
        <w:rPr>
          <w:rtl w:val="true"/>
        </w:rPr>
        <w:t xml:space="preserve">, </w:t>
      </w:r>
      <w:r>
        <w:rPr>
          <w:rtl w:val="true"/>
        </w:rPr>
        <w:t>וכי בסוף נתן לשכן שלו את הנשק והזמין משטרה</w:t>
      </w:r>
      <w:r>
        <w:rPr>
          <w:rtl w:val="true"/>
        </w:rPr>
        <w:t xml:space="preserve">. </w:t>
      </w:r>
      <w:r>
        <w:rPr>
          <w:rtl w:val="true"/>
        </w:rPr>
        <w:t>הנאשם ביקש להתחשב במצבו ושלא יינתן לו עונש 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על פי תסקיר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הנאשם בן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נשוי ואב לשלושה</w:t>
      </w:r>
      <w:r>
        <w:rPr>
          <w:rtl w:val="true"/>
        </w:rPr>
        <w:t xml:space="preserve">. </w:t>
      </w:r>
      <w:r>
        <w:rPr>
          <w:rtl w:val="true"/>
        </w:rPr>
        <w:t xml:space="preserve">הוא עלה עם משפחתו מאוקראינה בשנת </w:t>
      </w:r>
      <w:r>
        <w:rPr/>
        <w:t>2000</w:t>
      </w:r>
      <w:r>
        <w:rPr>
          <w:rtl w:val="true"/>
        </w:rPr>
        <w:t xml:space="preserve">. </w:t>
      </w:r>
      <w:r>
        <w:rPr>
          <w:rtl w:val="true"/>
        </w:rPr>
        <w:t xml:space="preserve">בארץ מוצאו סיים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 xml:space="preserve">מתוכן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באקדמיה צבאית</w:t>
      </w:r>
      <w:r>
        <w:rPr>
          <w:rtl w:val="true"/>
        </w:rPr>
        <w:t xml:space="preserve">, </w:t>
      </w:r>
      <w:r>
        <w:rPr>
          <w:rtl w:val="true"/>
        </w:rPr>
        <w:t>והוא בעל תעודת מהנדס בניין</w:t>
      </w:r>
      <w:r>
        <w:rPr>
          <w:rtl w:val="true"/>
        </w:rPr>
        <w:t xml:space="preserve">. </w:t>
      </w:r>
      <w:r>
        <w:rPr>
          <w:rtl w:val="true"/>
        </w:rPr>
        <w:t>לאחר לימודיו שירת בצבא המדינה</w:t>
      </w:r>
      <w:r>
        <w:rPr>
          <w:rtl w:val="true"/>
        </w:rPr>
        <w:t xml:space="preserve">, </w:t>
      </w:r>
      <w:r>
        <w:rPr>
          <w:rtl w:val="true"/>
        </w:rPr>
        <w:t>השתתף במלחמה נגד צ</w:t>
      </w:r>
      <w:r>
        <w:rPr>
          <w:rtl w:val="true"/>
        </w:rPr>
        <w:t>'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ניה</w:t>
      </w:r>
      <w:r>
        <w:rPr>
          <w:rtl w:val="true"/>
        </w:rPr>
        <w:t xml:space="preserve">. </w:t>
      </w:r>
      <w:r>
        <w:rPr>
          <w:rtl w:val="true"/>
        </w:rPr>
        <w:t>במהלך הקרבות הוא נפצע בראשו</w:t>
      </w:r>
      <w:r>
        <w:rPr>
          <w:rtl w:val="true"/>
        </w:rPr>
        <w:t xml:space="preserve">, </w:t>
      </w:r>
      <w:r>
        <w:rPr>
          <w:rtl w:val="true"/>
        </w:rPr>
        <w:t>ולאחר תהליך שיקום שוחרר מהצבא והוכר כנכה</w:t>
      </w:r>
      <w:r>
        <w:rPr>
          <w:rtl w:val="true"/>
        </w:rPr>
        <w:t xml:space="preserve">. </w:t>
      </w:r>
      <w:r>
        <w:rPr>
          <w:rtl w:val="true"/>
        </w:rPr>
        <w:t>לאחר שחרורו עבד הנאשם כסגן ראש הכפר לענייני בנייה</w:t>
      </w:r>
      <w:r>
        <w:rPr>
          <w:rtl w:val="true"/>
        </w:rPr>
        <w:t xml:space="preserve">, </w:t>
      </w:r>
      <w:r>
        <w:rPr>
          <w:rtl w:val="true"/>
        </w:rPr>
        <w:t>עד שעלה לישראל</w:t>
      </w:r>
      <w:r>
        <w:rPr>
          <w:rtl w:val="true"/>
        </w:rPr>
        <w:t xml:space="preserve">. </w:t>
      </w:r>
      <w:r>
        <w:rPr>
          <w:rtl w:val="true"/>
        </w:rPr>
        <w:t>בארץ הקים עסק פרטי לבניית מעליות</w:t>
      </w:r>
      <w:r>
        <w:rPr>
          <w:rtl w:val="true"/>
        </w:rPr>
        <w:t xml:space="preserve">. </w:t>
      </w:r>
      <w:r>
        <w:rPr>
          <w:rtl w:val="true"/>
        </w:rPr>
        <w:t>בהתאם לאמור בתסקיר</w:t>
      </w:r>
      <w:r>
        <w:rPr>
          <w:rtl w:val="true"/>
        </w:rPr>
        <w:t xml:space="preserve">, </w:t>
      </w:r>
      <w:r>
        <w:rPr>
          <w:rtl w:val="true"/>
        </w:rPr>
        <w:t>הנאשם לוקה בנפשו</w:t>
      </w:r>
      <w:r>
        <w:rPr>
          <w:rtl w:val="true"/>
        </w:rPr>
        <w:t xml:space="preserve">, </w:t>
      </w:r>
      <w:r>
        <w:rPr>
          <w:rtl w:val="true"/>
        </w:rPr>
        <w:t>אף שהוא כשיר לעמוד לדין</w:t>
      </w:r>
      <w:r>
        <w:rPr>
          <w:rtl w:val="true"/>
        </w:rPr>
        <w:t xml:space="preserve">. </w:t>
      </w:r>
      <w:r>
        <w:rPr>
          <w:rtl w:val="true"/>
        </w:rPr>
        <w:t>לנאשם אין עבר 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בהתייחסותו לעבירות נשוא כתב האישום המתוקן</w:t>
      </w:r>
      <w:r>
        <w:rPr>
          <w:rtl w:val="true"/>
        </w:rPr>
        <w:t xml:space="preserve">, </w:t>
      </w:r>
      <w:r>
        <w:rPr>
          <w:rtl w:val="true"/>
        </w:rPr>
        <w:t>נטל הנאשם אחריות חלקית בלבד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ניסה לפגוע בעצמו</w:t>
      </w:r>
      <w:r>
        <w:rPr>
          <w:rtl w:val="true"/>
        </w:rPr>
        <w:t xml:space="preserve">, </w:t>
      </w:r>
      <w:r>
        <w:rPr>
          <w:rtl w:val="true"/>
        </w:rPr>
        <w:t>ולא התכוון לפגוע באחרים</w:t>
      </w:r>
      <w:r>
        <w:rPr>
          <w:rtl w:val="true"/>
        </w:rPr>
        <w:t xml:space="preserve">. </w:t>
      </w:r>
      <w:r>
        <w:rPr>
          <w:rtl w:val="true"/>
        </w:rPr>
        <w:t>על פי התרשמות שירות המבחן הנאשם עסוק בתחושות הקורבנות שלו</w:t>
      </w:r>
      <w:r>
        <w:rPr>
          <w:rtl w:val="true"/>
        </w:rPr>
        <w:t xml:space="preserve">, </w:t>
      </w:r>
      <w:r>
        <w:rPr>
          <w:rtl w:val="true"/>
        </w:rPr>
        <w:t>על רקע מצבו הכלכלי הקשה</w:t>
      </w:r>
      <w:r>
        <w:rPr>
          <w:rtl w:val="true"/>
        </w:rPr>
        <w:t xml:space="preserve">, </w:t>
      </w:r>
      <w:r>
        <w:rPr>
          <w:rtl w:val="true"/>
        </w:rPr>
        <w:t>מחלת בנו</w:t>
      </w:r>
      <w:r>
        <w:rPr>
          <w:rtl w:val="true"/>
        </w:rPr>
        <w:t xml:space="preserve">, </w:t>
      </w:r>
      <w:r>
        <w:rPr>
          <w:rtl w:val="true"/>
        </w:rPr>
        <w:t>ותחושות הייאוש שחש בעת ביצוע העבירות</w:t>
      </w:r>
      <w:r>
        <w:rPr>
          <w:rtl w:val="true"/>
        </w:rPr>
        <w:t xml:space="preserve">. </w:t>
      </w:r>
      <w:r>
        <w:rPr>
          <w:rtl w:val="true"/>
        </w:rPr>
        <w:t>הנאשם לא התחבר לפגיעה באחרים ולא חש אמפתיה כלפיהם</w:t>
      </w:r>
      <w:r>
        <w:rPr>
          <w:rtl w:val="true"/>
        </w:rPr>
        <w:t xml:space="preserve">. </w:t>
      </w:r>
      <w:r>
        <w:rPr>
          <w:rtl w:val="true"/>
        </w:rPr>
        <w:t>על פי התסקיר</w:t>
      </w:r>
      <w:r>
        <w:rPr>
          <w:rtl w:val="true"/>
        </w:rPr>
        <w:t xml:space="preserve">, </w:t>
      </w:r>
      <w:r>
        <w:rPr>
          <w:rtl w:val="true"/>
        </w:rPr>
        <w:t>הנאשם הנו אדם מופנם</w:t>
      </w:r>
      <w:r>
        <w:rPr>
          <w:rtl w:val="true"/>
        </w:rPr>
        <w:t xml:space="preserve">, </w:t>
      </w:r>
      <w:r>
        <w:rPr>
          <w:rtl w:val="true"/>
        </w:rPr>
        <w:t>בעל עמדות נוקשות ותפיסת עולם בלתי מתפשרת</w:t>
      </w:r>
      <w:r>
        <w:rPr>
          <w:rtl w:val="true"/>
        </w:rPr>
        <w:t xml:space="preserve">, </w:t>
      </w:r>
      <w:r>
        <w:rPr>
          <w:rtl w:val="true"/>
        </w:rPr>
        <w:t>אשר בחר להתמודד עם הטראומה שעבר בעבר על ידי ניתוק רגשי</w:t>
      </w:r>
      <w:r>
        <w:rPr>
          <w:rtl w:val="true"/>
        </w:rPr>
        <w:t xml:space="preserve">. </w:t>
      </w:r>
      <w:r>
        <w:rPr>
          <w:rtl w:val="true"/>
        </w:rPr>
        <w:t>לנאשם קושי לפתח יחסים בין אישיים פתוחים וקרובים עם סביבתו</w:t>
      </w:r>
      <w:r>
        <w:rPr>
          <w:rtl w:val="true"/>
        </w:rPr>
        <w:t xml:space="preserve">, </w:t>
      </w:r>
      <w:r>
        <w:rPr>
          <w:rtl w:val="true"/>
        </w:rPr>
        <w:t>והוא מצוי בבידוד רגשי וחברתי</w:t>
      </w:r>
      <w:r>
        <w:rPr>
          <w:rtl w:val="true"/>
        </w:rPr>
        <w:t xml:space="preserve">. </w:t>
      </w:r>
      <w:r>
        <w:rPr>
          <w:rtl w:val="true"/>
        </w:rPr>
        <w:t>הנאשם נוטה להתמודד עם מצבים טעונים מבחינה רגשית על ידי ניתוק רגשי</w:t>
      </w:r>
      <w:r>
        <w:rPr>
          <w:rtl w:val="true"/>
        </w:rPr>
        <w:t xml:space="preserve">, </w:t>
      </w:r>
      <w:r>
        <w:rPr>
          <w:rtl w:val="true"/>
        </w:rPr>
        <w:t>המביא לצבירת כעסים בלתי מבוקרת והתפרצויות זעם בלתי נשלטות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מסקנת שירות המבחן הנה כי לנאשם סיכון גבוה להישנות התנהגות אלימה גם בעתיד</w:t>
      </w:r>
      <w:r>
        <w:rPr>
          <w:rtl w:val="true"/>
        </w:rPr>
        <w:t xml:space="preserve">, </w:t>
      </w:r>
      <w:r>
        <w:rPr>
          <w:rtl w:val="true"/>
        </w:rPr>
        <w:t>לנוכח שימוש באלכוהול במשך תקופה ארוכה</w:t>
      </w:r>
      <w:r>
        <w:rPr>
          <w:rtl w:val="true"/>
        </w:rPr>
        <w:t xml:space="preserve">, </w:t>
      </w:r>
      <w:r>
        <w:rPr>
          <w:rtl w:val="true"/>
        </w:rPr>
        <w:t>לאור אופיו הנוקשה והקושי הניכר בויסות דחפיו התוקפניים</w:t>
      </w:r>
      <w:r>
        <w:rPr>
          <w:rtl w:val="true"/>
        </w:rPr>
        <w:t xml:space="preserve">, </w:t>
      </w:r>
      <w:r>
        <w:rPr>
          <w:rtl w:val="true"/>
        </w:rPr>
        <w:t>העדר יכולת אמפטית והעדר חיבור לחומרת מעשיו והשלכת אחריות על בני משפחתו</w:t>
      </w:r>
      <w:r>
        <w:rPr>
          <w:rtl w:val="true"/>
        </w:rPr>
        <w:t xml:space="preserve">. </w:t>
      </w:r>
      <w:r>
        <w:rPr>
          <w:rtl w:val="true"/>
        </w:rPr>
        <w:t>לפיכך הסיק עורך התסקיר כי אין תועלת בקשר טיפולי עם הנאשם</w:t>
      </w:r>
      <w:r>
        <w:rPr>
          <w:rtl w:val="true"/>
        </w:rPr>
        <w:t xml:space="preserve">, </w:t>
      </w:r>
      <w:r>
        <w:rPr>
          <w:rtl w:val="true"/>
        </w:rPr>
        <w:t>והוא נמנע מלבוא בהמלצה כלשהי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 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התנהגותו של הנאשם שלפניי</w:t>
      </w:r>
      <w:r>
        <w:rPr>
          <w:rtl w:val="true"/>
        </w:rPr>
        <w:t xml:space="preserve">, </w:t>
      </w:r>
      <w:r>
        <w:rPr>
          <w:rtl w:val="true"/>
        </w:rPr>
        <w:t>כפי שעולה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>הנה התנהגות חמורה ביותר</w:t>
      </w:r>
      <w:r>
        <w:rPr>
          <w:rtl w:val="true"/>
        </w:rPr>
        <w:t xml:space="preserve">, </w:t>
      </w:r>
      <w:r>
        <w:rPr>
          <w:rtl w:val="true"/>
        </w:rPr>
        <w:t>המאופיינת באלימות</w:t>
      </w:r>
      <w:r>
        <w:rPr>
          <w:rtl w:val="true"/>
        </w:rPr>
        <w:t xml:space="preserve">, </w:t>
      </w:r>
      <w:r>
        <w:rPr>
          <w:rtl w:val="true"/>
        </w:rPr>
        <w:t>קיצוניות ואימפולסיביות</w:t>
      </w:r>
      <w:r>
        <w:rPr>
          <w:rtl w:val="true"/>
        </w:rPr>
        <w:t xml:space="preserve">, </w:t>
      </w:r>
      <w:r>
        <w:rPr>
          <w:rtl w:val="true"/>
        </w:rPr>
        <w:t>גלום בה פוטנציאל סיכון גבוה לגרימת נזקים קשים לאדם עצמו ולסובבים אותו</w:t>
      </w:r>
      <w:r>
        <w:rPr>
          <w:rtl w:val="true"/>
        </w:rPr>
        <w:t xml:space="preserve">, </w:t>
      </w:r>
      <w:r>
        <w:rPr>
          <w:rtl w:val="true"/>
        </w:rPr>
        <w:t>והתנהגות זו ראויה לגינוי בכל תוקף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 ששתה לשוכרה</w:t>
      </w:r>
      <w:r>
        <w:rPr>
          <w:rtl w:val="true"/>
        </w:rPr>
        <w:t xml:space="preserve">, </w:t>
      </w:r>
      <w:r>
        <w:rPr>
          <w:rtl w:val="true"/>
        </w:rPr>
        <w:t>נטל לידיו את נשקה הצבאי של בתו החיילת</w:t>
      </w:r>
      <w:r>
        <w:rPr>
          <w:rtl w:val="true"/>
        </w:rPr>
        <w:t xml:space="preserve">, </w:t>
      </w:r>
      <w:r>
        <w:rPr>
          <w:rtl w:val="true"/>
        </w:rPr>
        <w:t>יצא מביתו</w:t>
      </w:r>
      <w:r>
        <w:rPr>
          <w:rtl w:val="true"/>
        </w:rPr>
        <w:t xml:space="preserve">, </w:t>
      </w:r>
      <w:r>
        <w:rPr>
          <w:rtl w:val="true"/>
        </w:rPr>
        <w:t>ואיים באמצעות הנשק השלוף על בתו ושכניו ואף איים ליטול את חייו לנגד עיני אשתו</w:t>
      </w:r>
      <w:r>
        <w:rPr>
          <w:rtl w:val="true"/>
        </w:rPr>
        <w:t xml:space="preserve">, </w:t>
      </w:r>
      <w:r>
        <w:rPr>
          <w:rtl w:val="true"/>
        </w:rPr>
        <w:t>ילדיו ושכניו</w:t>
      </w:r>
      <w:r>
        <w:rPr>
          <w:rtl w:val="true"/>
        </w:rPr>
        <w:t xml:space="preserve">. </w:t>
      </w:r>
      <w:r>
        <w:rPr>
          <w:rtl w:val="true"/>
        </w:rPr>
        <w:t>רק בשל התערבות שכניו של הנאשם</w:t>
      </w:r>
      <w:r>
        <w:rPr>
          <w:rtl w:val="true"/>
        </w:rPr>
        <w:t xml:space="preserve">, </w:t>
      </w:r>
      <w:r>
        <w:rPr>
          <w:rtl w:val="true"/>
        </w:rPr>
        <w:t>נמנע הנאשם מלממש את איומיו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אף שיש לזקוף לזכותו של הנאשם את הודאתו המהירה במסגרת הסדר טיעון</w:t>
      </w:r>
      <w:r>
        <w:rPr>
          <w:rtl w:val="true"/>
        </w:rPr>
        <w:t xml:space="preserve">, </w:t>
      </w:r>
      <w:r>
        <w:rPr>
          <w:rtl w:val="true"/>
        </w:rPr>
        <w:t>ראוי לעמוד על כך שהנאשם נמנע מליטול אחריות מלאה על המעשים</w:t>
      </w:r>
      <w:r>
        <w:rPr>
          <w:rtl w:val="true"/>
        </w:rPr>
        <w:t xml:space="preserve">, </w:t>
      </w:r>
      <w:r>
        <w:rPr>
          <w:rtl w:val="true"/>
        </w:rPr>
        <w:t>ואף נמנע מלהביע חרטה עליהם</w:t>
      </w:r>
      <w:r>
        <w:rPr>
          <w:rtl w:val="true"/>
        </w:rPr>
        <w:t xml:space="preserve">. </w:t>
      </w:r>
      <w:r>
        <w:rPr>
          <w:rtl w:val="true"/>
        </w:rPr>
        <w:t>בפיו מצויים שלל הסברים להתנהגותו</w:t>
      </w:r>
      <w:r>
        <w:rPr>
          <w:rtl w:val="true"/>
        </w:rPr>
        <w:t xml:space="preserve">, </w:t>
      </w:r>
      <w:r>
        <w:rPr>
          <w:rtl w:val="true"/>
        </w:rPr>
        <w:t>ובהם מצבו הכלכלי הקשה</w:t>
      </w:r>
      <w:r>
        <w:rPr>
          <w:rtl w:val="true"/>
        </w:rPr>
        <w:t xml:space="preserve">, </w:t>
      </w:r>
      <w:r>
        <w:rPr>
          <w:rtl w:val="true"/>
        </w:rPr>
        <w:t>מצבו הנפשי</w:t>
      </w:r>
      <w:r>
        <w:rPr>
          <w:rtl w:val="true"/>
        </w:rPr>
        <w:t xml:space="preserve">, </w:t>
      </w:r>
      <w:r>
        <w:rPr>
          <w:rtl w:val="true"/>
        </w:rPr>
        <w:t>ומצבו הבריאותי המצער של בנו</w:t>
      </w:r>
      <w:r>
        <w:rPr>
          <w:rtl w:val="true"/>
        </w:rPr>
        <w:t xml:space="preserve">. </w:t>
      </w:r>
      <w:r>
        <w:rPr>
          <w:rtl w:val="true"/>
        </w:rPr>
        <w:t>כל אלה אינם יכולים לשמש הצדקה להתנהגות פרועה</w:t>
      </w:r>
      <w:r>
        <w:rPr>
          <w:rtl w:val="true"/>
        </w:rPr>
        <w:t xml:space="preserve">, </w:t>
      </w:r>
      <w:r>
        <w:rPr>
          <w:rtl w:val="true"/>
        </w:rPr>
        <w:t>משולחת רסן</w:t>
      </w:r>
      <w:r>
        <w:rPr>
          <w:rtl w:val="true"/>
        </w:rPr>
        <w:t xml:space="preserve">, </w:t>
      </w:r>
      <w:r>
        <w:rPr>
          <w:rtl w:val="true"/>
        </w:rPr>
        <w:t>ובעלת פוטנציאל גבוה לפגיעה באחרים</w:t>
      </w:r>
      <w:r>
        <w:rPr>
          <w:rtl w:val="true"/>
        </w:rPr>
        <w:t xml:space="preserve">, </w:t>
      </w:r>
      <w:r>
        <w:rPr>
          <w:rtl w:val="true"/>
        </w:rPr>
        <w:t>בה נהג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שירות המבחן נמנע כאמור מלבוא בהמלצה טיפולית בעניינו של הנאשם</w:t>
      </w:r>
      <w:r>
        <w:rPr>
          <w:rtl w:val="true"/>
        </w:rPr>
        <w:t xml:space="preserve">, </w:t>
      </w:r>
      <w:r>
        <w:rPr>
          <w:rtl w:val="true"/>
        </w:rPr>
        <w:t>ועמד על נטייתו לנהוג באורח קיצוני</w:t>
      </w:r>
      <w:r>
        <w:rPr>
          <w:rtl w:val="true"/>
        </w:rPr>
        <w:t xml:space="preserve">, </w:t>
      </w:r>
      <w:r>
        <w:rPr>
          <w:rtl w:val="true"/>
        </w:rPr>
        <w:t>מכוחם של דחפים תוקפניים</w:t>
      </w:r>
      <w:r>
        <w:rPr>
          <w:rtl w:val="true"/>
        </w:rPr>
        <w:t xml:space="preserve">, </w:t>
      </w:r>
      <w:r>
        <w:rPr>
          <w:rtl w:val="true"/>
        </w:rPr>
        <w:t>על חוסר יכולתו להתמודד עם מצבים מורכבים ועל אופיו הנוקשה וחסר הפשרות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יחד עם אלה</w:t>
      </w:r>
      <w:r>
        <w:rPr>
          <w:rtl w:val="true"/>
        </w:rPr>
        <w:t xml:space="preserve">, </w:t>
      </w:r>
      <w:r>
        <w:rPr>
          <w:rtl w:val="true"/>
        </w:rPr>
        <w:t>יש להביא בחשבון היעדרו של עבר פלילי</w:t>
      </w:r>
      <w:r>
        <w:rPr>
          <w:rtl w:val="true"/>
        </w:rPr>
        <w:t xml:space="preserve">, </w:t>
      </w:r>
      <w:r>
        <w:rPr>
          <w:rtl w:val="true"/>
        </w:rPr>
        <w:t>את הפציעה הטראומתית שחווה הנאשם בעת מלחמה</w:t>
      </w:r>
      <w:r>
        <w:rPr>
          <w:rtl w:val="true"/>
        </w:rPr>
        <w:t xml:space="preserve">, </w:t>
      </w:r>
      <w:r>
        <w:rPr>
          <w:rtl w:val="true"/>
        </w:rPr>
        <w:t>ואת הליקוי הנפשי ממנו הוא סובל</w:t>
      </w:r>
      <w:r>
        <w:rPr>
          <w:rtl w:val="true"/>
        </w:rPr>
        <w:t xml:space="preserve">. </w:t>
      </w:r>
      <w:r>
        <w:rPr>
          <w:rtl w:val="true"/>
        </w:rPr>
        <w:t>כל אלה</w:t>
      </w:r>
      <w:r>
        <w:rPr>
          <w:rtl w:val="true"/>
        </w:rPr>
        <w:t xml:space="preserve">, </w:t>
      </w:r>
      <w:r>
        <w:rPr>
          <w:rtl w:val="true"/>
        </w:rPr>
        <w:t>המתווספים למצב הכלכלי הקשה אשר על פי כתב האישום המתוקן הוביל את הנאשם לביצוע המעשים</w:t>
      </w:r>
      <w:r>
        <w:rPr>
          <w:rtl w:val="true"/>
        </w:rPr>
        <w:t xml:space="preserve">, </w:t>
      </w:r>
      <w:r>
        <w:rPr>
          <w:rtl w:val="true"/>
        </w:rPr>
        <w:t>משמשים כנימוקים להקל עם הנאשם במידת מה</w:t>
      </w:r>
      <w:r>
        <w:rPr>
          <w:rtl w:val="true"/>
        </w:rPr>
        <w:t xml:space="preserve">, </w:t>
      </w:r>
      <w:r>
        <w:rPr>
          <w:rtl w:val="true"/>
        </w:rPr>
        <w:t>ולהימנע מלמצות עמו את מלוא חומרת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לאור כל המתואר לעיל</w:t>
      </w:r>
      <w:r>
        <w:rPr>
          <w:rtl w:val="true"/>
        </w:rPr>
        <w:t xml:space="preserve">, </w:t>
      </w:r>
      <w:r>
        <w:rPr>
          <w:rtl w:val="true"/>
        </w:rPr>
        <w:t>ולאחר ששקלתי את כל השיקולים הצריכים לעניינו של הנאשם שלפניי</w:t>
      </w:r>
      <w:r>
        <w:rPr>
          <w:rtl w:val="true"/>
        </w:rPr>
        <w:t xml:space="preserve">, </w:t>
      </w:r>
      <w:r>
        <w:rPr>
          <w:rtl w:val="true"/>
        </w:rPr>
        <w:t>אין מקום בנסיבות האמורות להסתפק בתקופת מעצרו של הנאשם</w:t>
      </w:r>
      <w:r>
        <w:rPr>
          <w:rtl w:val="true"/>
        </w:rPr>
        <w:t xml:space="preserve">, </w:t>
      </w:r>
      <w:r>
        <w:rPr>
          <w:rtl w:val="true"/>
        </w:rPr>
        <w:t>כפי שמציע סנגורו</w:t>
      </w:r>
      <w:r>
        <w:rPr>
          <w:rtl w:val="true"/>
        </w:rPr>
        <w:t xml:space="preserve">, </w:t>
      </w:r>
      <w:r>
        <w:rPr>
          <w:rtl w:val="true"/>
        </w:rPr>
        <w:t>וראוי להטיל עליו עונש מאסר בפועל ועונש מאסר מותנה</w:t>
      </w:r>
      <w:r>
        <w:rPr>
          <w:rtl w:val="true"/>
        </w:rPr>
        <w:t xml:space="preserve">, </w:t>
      </w:r>
      <w:r>
        <w:rPr>
          <w:rtl w:val="true"/>
        </w:rPr>
        <w:t>אשר ירתיעו אותו מפני הישנות מקרים דומים בעתיד</w:t>
      </w:r>
      <w:r>
        <w:rPr>
          <w:rtl w:val="true"/>
        </w:rPr>
        <w:t xml:space="preserve">, </w:t>
      </w:r>
      <w:r>
        <w:rPr>
          <w:rtl w:val="true"/>
        </w:rPr>
        <w:t>ולקוות כי יפיק מכך לקח לעתיד ויימנע מלנהוג פעם נוספת באימפולסיביות המאיימת שאפיינה את מעשיו המתוארים לעיל</w:t>
      </w:r>
      <w:r>
        <w:rPr>
          <w:rtl w:val="true"/>
        </w:rPr>
        <w:t xml:space="preserve">. </w:t>
      </w:r>
      <w:r>
        <w:rPr>
          <w:rtl w:val="true"/>
        </w:rPr>
        <w:t>בשל המצב הכלכלי הקשה של הנאשם ומשפחתו</w:t>
      </w:r>
      <w:r>
        <w:rPr>
          <w:rtl w:val="true"/>
        </w:rPr>
        <w:t xml:space="preserve">, </w:t>
      </w:r>
      <w:r>
        <w:rPr>
          <w:rtl w:val="true"/>
        </w:rPr>
        <w:t>נמנעתי מלהטיל עליו קנס כספי בגזר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אשר על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 ששקלתי את השיקולים לחומרה ולקולה בעניינו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ובהתחשב בנסיבות ביצוע העבירה ובנסיבותיו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גוזר את דינו של הנאשם ומטיל עליו את העונשים 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אני דן את הנאשם לשמונה עשר 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מתוכם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בניכוי ימי מעצרו מיום </w:t>
      </w:r>
      <w:r>
        <w:rPr>
          <w:b/>
          <w:bCs/>
        </w:rPr>
        <w:t>17/6/2010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היתרה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שהנאשם לא יעבור ויורשע בפרק זמן זה על כל אחת מהעבירות בהן הורשע בכתב האישום המתוקן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386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38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86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39057-06-10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סטפן קלימובסקי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אסיר</w:t>
    </w:r>
    <w:r>
      <w:rPr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</w:rPr>
    </w:lvl>
    <w:lvl w:ilvl="1">
      <w:start w:val="1"/>
      <w:numFmt w:val="decimal"/>
      <w:lvlText w:val="%1.%2."/>
      <w:lvlJc w:val="start"/>
      <w:pPr>
        <w:tabs>
          <w:tab w:val="num" w:pos="792"/>
        </w:tabs>
        <w:ind w:start="792" w:hanging="432"/>
      </w:pPr>
      <w:rPr>
        <w:b w:val="false"/>
        <w:bCs w:val="false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</w:lvl>
    <w:lvl w:ilvl="3">
      <w:start w:val="1"/>
      <w:numFmt w:val="decimal"/>
      <w:lvlText w:val="%1.%2.%3.%4."/>
      <w:lvlJc w:val="start"/>
      <w:pPr>
        <w:tabs>
          <w:tab w:val="num" w:pos="1728"/>
        </w:tabs>
        <w:ind w:start="1728" w:hanging="648"/>
      </w:pPr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</w:lvl>
    <w:lvl w:ilvl="8">
      <w:start w:val="1"/>
      <w:numFmt w:val="decimal"/>
      <w:lvlText w:val="%1.%2.%3.%4.%5.%6.%7.%8.%9."/>
      <w:lvlJc w:val="start"/>
      <w:pPr>
        <w:tabs>
          <w:tab w:val="num" w:pos="4320"/>
        </w:tabs>
        <w:ind w:start="4320" w:hanging="144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1z1">
    <w:name w:val="WW8Num1z1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2016-04-26T12:39:00Z</dcterms:created>
  <dc:creator> </dc:creator>
  <dc:description/>
  <cp:keywords/>
  <dc:language>en-IL</dc:language>
  <cp:lastModifiedBy>run</cp:lastModifiedBy>
  <dcterms:modified xsi:type="dcterms:W3CDTF">2016-04-26T12:39:00Z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סטפן קלימובסקי (אסיר)</vt:lpwstr>
  </property>
  <property fmtid="{D5CDD505-2E9C-101B-9397-08002B2CF9AE}" pid="4" name="CITY">
    <vt:lpwstr>נצ'</vt:lpwstr>
  </property>
  <property fmtid="{D5CDD505-2E9C-101B-9397-08002B2CF9AE}" pid="5" name="DATE">
    <vt:lpwstr>20110124</vt:lpwstr>
  </property>
  <property fmtid="{D5CDD505-2E9C-101B-9397-08002B2CF9AE}" pid="6" name="ISABSTRACT">
    <vt:lpwstr>Y</vt:lpwstr>
  </property>
  <property fmtid="{D5CDD505-2E9C-101B-9397-08002B2CF9AE}" pid="7" name="JUDGE">
    <vt:lpwstr>תאופיק כתילי</vt:lpwstr>
  </property>
  <property fmtid="{D5CDD505-2E9C-101B-9397-08002B2CF9AE}" pid="8" name="LAWLISTTMP1">
    <vt:lpwstr>70301/144.a;192</vt:lpwstr>
  </property>
  <property fmtid="{D5CDD505-2E9C-101B-9397-08002B2CF9AE}" pid="9" name="LAWYER">
    <vt:lpwstr>עידית רייכרט;עתאמנה</vt:lpwstr>
  </property>
  <property fmtid="{D5CDD505-2E9C-101B-9397-08002B2CF9AE}" pid="10" name="NEWPARTA">
    <vt:lpwstr>39057</vt:lpwstr>
  </property>
  <property fmtid="{D5CDD505-2E9C-101B-9397-08002B2CF9AE}" pid="11" name="NEWPARTB">
    <vt:lpwstr>06</vt:lpwstr>
  </property>
  <property fmtid="{D5CDD505-2E9C-101B-9397-08002B2CF9AE}" pid="12" name="NEWPARTC">
    <vt:lpwstr>10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RemarkFileName">
    <vt:lpwstr>mechozi me 10 06 39057 66 htm</vt:lpwstr>
  </property>
  <property fmtid="{D5CDD505-2E9C-101B-9397-08002B2CF9AE}" pid="16" name="TYPE">
    <vt:lpwstr>2</vt:lpwstr>
  </property>
  <property fmtid="{D5CDD505-2E9C-101B-9397-08002B2CF9AE}" pid="17" name="TYPE_ABS_DATE">
    <vt:lpwstr>390020110124</vt:lpwstr>
  </property>
  <property fmtid="{D5CDD505-2E9C-101B-9397-08002B2CF9AE}" pid="18" name="TYPE_N_DATE">
    <vt:lpwstr>39020110124</vt:lpwstr>
  </property>
  <property fmtid="{D5CDD505-2E9C-101B-9397-08002B2CF9AE}" pid="19" name="WORDNUMPAGES">
    <vt:lpwstr>3</vt:lpwstr>
  </property>
</Properties>
</file>