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לפני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פרקש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נשיא</w:t>
            </w:r>
          </w:p>
        </w:tc>
        <w:tc>
          <w:tcPr>
            <w:tcW w:w="4248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39071-12-15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מצרי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92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1"/>
        <w:gridCol w:w="5807"/>
      </w:tblGrid>
      <w:tr>
        <w:trPr/>
        <w:tc>
          <w:tcPr>
            <w:tcW w:w="312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80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מושקוביץ</w:t>
            </w:r>
            <w:r>
              <w:rPr>
                <w:sz w:val="26"/>
                <w:szCs w:val="26"/>
                <w:rtl w:val="true"/>
              </w:rPr>
              <w:t>'</w:t>
            </w:r>
          </w:p>
        </w:tc>
      </w:tr>
      <w:tr>
        <w:trPr/>
        <w:tc>
          <w:tcPr>
            <w:tcW w:w="892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ג 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80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עמאר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נס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נתן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51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 w:before="0" w:after="1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bookmarkStart w:id="8" w:name="ABSTRACT_START"/>
      <w:bookmarkEnd w:id="8"/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22.9.16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בעניינו של הנאשם ועמו כתב אישום מתוקן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אלו נקלטו בנט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המשפט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23.9.16</w:t>
      </w:r>
      <w:r>
        <w:rPr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באותו המועד הורשע הנאשם על סמך הודאתו באחזקת נשק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עבירה לפי 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רישא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תשל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1977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חוק העונשין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המסכת העובדתית שביסוד הרשעת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שפורטה בכתב האישום המתוק</w:t>
      </w:r>
      <w:r>
        <w:rPr>
          <w:rFonts w:ascii="Arial" w:hAnsi="Arial" w:cs="Arial"/>
          <w:sz w:val="26"/>
          <w:sz w:val="26"/>
          <w:szCs w:val="26"/>
          <w:rtl w:val="true"/>
        </w:rPr>
        <w:t>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הינה כלהלן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12.10.13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בשעה </w:t>
      </w:r>
      <w:r>
        <w:rPr>
          <w:rFonts w:cs="Arial" w:ascii="Arial" w:hAnsi="Arial"/>
          <w:sz w:val="26"/>
          <w:szCs w:val="26"/>
        </w:rPr>
        <w:t>22:30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 בסמוך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נסע הנאשם ברכב אשר היה בשימושו באותה העת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מסוג מזדה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רישיון </w:t>
      </w:r>
      <w:r>
        <w:rPr>
          <w:rFonts w:cs="Arial" w:ascii="Arial" w:hAnsi="Arial"/>
          <w:sz w:val="26"/>
          <w:szCs w:val="26"/>
        </w:rPr>
        <w:t>71-098-16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בכביש מספר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בסמוך למחלף הראל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 הנסיעה ישב הנאשם במושב הסמוך לנהג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באותה העת החזיק הנאשם מתחת לשטיח שמתחת למושב אקדח חצי אוטומטי מסוג סטאר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וזאת כאשר הנאשם לא היה בעל רישיון להחזיק את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425" w:end="0"/>
        <w:jc w:val="both"/>
        <w:rPr>
          <w:sz w:val="26"/>
          <w:szCs w:val="26"/>
          <w:lang w:val="en-US" w:eastAsia="en-US"/>
        </w:rPr>
      </w:pPr>
      <w:bookmarkStart w:id="9" w:name="ABSTRACT_END"/>
      <w:bookmarkEnd w:id="9"/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פי האישום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במעשיו המתוארים לעיל החזיק הנאשם נשק בלא רשות על פי דין להחזקתו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תסקיר שירות המבחן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וחוות דעת הממונה על עבודות שירות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בן </w:t>
      </w:r>
      <w:r>
        <w:rPr>
          <w:rFonts w:cs="Arial" w:ascii="Arial" w:hAnsi="Arial"/>
          <w:sz w:val="26"/>
          <w:szCs w:val="26"/>
        </w:rPr>
        <w:t>39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יליד עזה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עבר להתגורר בישראל עם משפחת מוצאו בהיותו בן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נשוי בפעם הרביעית ואב לשלושה ילדים עמם הוא מתגורר ברמלה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בתסקיר תואר כי אשתו הנוכחית בהיריון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אציין כי בדיון לפניי נודע שילדה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ולה ולנאשם תאומות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הוא שותף ובעלים של מספר עסקים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קצביה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עבודות גמר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וחברה לניהול כוח אדם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הוריו של הנאשם מתגוררים בלוד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 תיאר בפני שירות המבחן כי המעבר ללוד טמן בחובו קשיים משפחתיים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חברתיים וכלכליים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הוריו התקשו לספק לו ולתשעת אחיו הקטנים ממנו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מענים חומריים ורגשיים או להציב עבורם גבולות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מגוריהם בסביבה שולית ועבריינית השפיעה עליו ועל שניים מאחיו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סיים חמש שנות לימוד בעזה ולאחר המעבר ללוד החל לעבוד בקצביה כדי לסייע לפרנסת משפחתו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מסר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שבגיל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חבר לחברה שולית והחל לבצע עבירות פליליות בתחום של סחר ותיווך סמים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ריצה שלוש תקופות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האחרונה מביניהם בין </w:t>
      </w:r>
      <w:r>
        <w:rPr>
          <w:rFonts w:cs="Arial" w:ascii="Arial" w:hAnsi="Arial"/>
          <w:sz w:val="26"/>
          <w:szCs w:val="26"/>
        </w:rPr>
        <w:t>2007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sz w:val="26"/>
          <w:szCs w:val="26"/>
        </w:rPr>
        <w:t>2010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מסר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בתקופה זו עבר תהליך של שיקום אותו המשיך לאחר שחרורו ממאסר במסגרת המחלקה לשיקום האסיר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בלוד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לאחר שחרורו עבד הנאשם כשכיר ובשש השנים האחרונות הקים עם אחיו את העסקים המצוינים לעיל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מסר לשירות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לצורך הרחבת העסקים לווה כספים והביע חשש כי אם ייאסר לא יוכל לעמוד בתשלומי הלוואותיו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תיאר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בשונה ממערכות היחסים הקודמות שלו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זוגיותו עם אשתו הנוכחית קרובה ותקינה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לנאשם שש הרשעות קודמות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בין השנים </w:t>
      </w:r>
      <w:r>
        <w:rPr>
          <w:rFonts w:cs="Arial" w:ascii="Arial" w:hAnsi="Arial"/>
          <w:sz w:val="26"/>
          <w:szCs w:val="26"/>
        </w:rPr>
        <w:t>1999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2007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בגין ביצוע עבירות מתחום הסמים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פקודת זכויות יוצרים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מרמה והפרעה לשוטר המילוי תפקידו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 קיים נגדו תיק מב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 מיוני </w:t>
      </w:r>
      <w:r>
        <w:rPr>
          <w:rFonts w:cs="Arial" w:ascii="Arial" w:hAnsi="Arial"/>
          <w:sz w:val="26"/>
          <w:szCs w:val="26"/>
        </w:rPr>
        <w:t>2013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cs="Arial" w:ascii="Arial" w:hAnsi="Arial"/>
          <w:sz w:val="26"/>
          <w:szCs w:val="26"/>
        </w:rPr>
        <w:t>274217-2013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בגין חשד לביצוע עבירות של גרימת מוות בכוונה תחילה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קשירת קשר לעשות פשע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וירי מנשק חם באזור מגורים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טרם הוגש כתב אישום בגין כך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עת התייחס הנאשם לעבירה הנוכחית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לקח אחריות על מעשיו והסביר כי נשא ברכבו 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טעון וללא רישיון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נוכח תחושת איום ממשית לחייו ולחיי 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רקע סכסוך עם אחרים שחשדו כי היה מעורב ברצח של מקורב אליהם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תיק המשטרה הפתוח נגדו מתייחס לחשדות 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אמר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מספר ימים לפני ביצוע העבירה נרצח גיסו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רקע הסכסוך המתואר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מה שחידד והעצים את תחושת האיום שחווה והמצוקה בה היה נתון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הוסיף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האיומים על חייו וחיי משפחתו פסקו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בפני שירות המבחן הביע הנאשם חרטה ואת ההבנה שמעשיו היו פסולים וכי היה עליו לפנות למשטרה לצורך הגנה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הופנה לאבחון השירות מספר פעמים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ובעבר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בשנת </w:t>
      </w:r>
      <w:r>
        <w:rPr>
          <w:rFonts w:cs="Arial" w:ascii="Arial" w:hAnsi="Arial"/>
          <w:sz w:val="26"/>
          <w:szCs w:val="26"/>
        </w:rPr>
        <w:t>2007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התרשם שירות המבחן מאדם אשר מנהל אורח חיים שולי ומתקשה לקחת אחריות על הדרך הבעייתית בה ניהל את חייו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החל להשתמש בסמים מסוג קנאביס בגיל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והפסיק זאת לאחר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לאחר שהבין את הנזק שהדבר גורם לו ולסביבתו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בשיחה עם שירות המבחן שלל צורך בטיפול בתחום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מסר שלוש בדיקות שתן שנמצאו נקיות מסמים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הערכת שירות המבחן היתה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מעת שחרורו ממאסרו האחרון ועד לביצוע העבירה הנוכחית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השקיע מאמצים רבים לתפקד באופן תקין ולהימנע ממעורבות שולית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הבין את ביצוע העבירה על רקע מצוקה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חשש ואיום שחש לחייו וחיי 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חזרה לדפוסי חשיבה והתנהגות שוליים המוכרים לו מהעבר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שהתקשה לשקול את חומרת התנהגותו והשלכותיה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שירות המבחן בחן את האפשרות לשלב את הנאשם במסגרת טיפול בשירות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תחילה הנאשם שלל אפשרות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שהדגיש את תפקודו התקין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השקעת משאביו במסגרת עבודתו ובמסגרת המשפחתית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משום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בתסקירו הראשון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היה בידי שירות המבחן לבוא בהמלצה טיפולית בעניינו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ממאמציו של הנאשם לנהל אורח חיים תקין בשנים האחרונות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מנת שלא לפגוע בתפקודו התעסוקתי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המליץ על ענישה קונקרטית של 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שיבהיר לנאשם את חומרת מעשיו והשלכותיהם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תאפשר לו להמשיך לפרנס את משפחתו ולעמוד במחויבויותיו הכספיות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המליץ שירות המבחן שמצבו המתואר יילקח גם בעת קביעת תקופת ביצוע עבודות השירות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בעדכון מאת שירות המבחן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מיום </w:t>
      </w:r>
      <w:r>
        <w:rPr>
          <w:rFonts w:cs="Arial" w:ascii="Arial" w:hAnsi="Arial"/>
          <w:sz w:val="26"/>
          <w:szCs w:val="26"/>
        </w:rPr>
        <w:t>31.1.17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נכתב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יצר קשר עם שירות המבחן וביקש להיעזר בשירותו לצורך הליך טיפולי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בפגישה עמו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התרשם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שהנאשם גילה הבנה ראשונית באשר לבעייתיות סביב אורח החיים שניהל לאורך תקופה ארוכה מחייו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לצד ההשפעה של המשך מגוריו בסביבה שולית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זאת אל מול המאמצים שעשה בשנים האחרונות לנהל אורח חיים תקין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ביטא בפני שירות המבחן רצון וצורך להירתם להליך הטיפולי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במטרה להעמיק ולבחון השפעתם של דפוסי החשיבה וההתנהגות הבעייתיים שפיתח ואימץ לאורך השנים על חייו כיום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שהדבר בא לידי ביטוי אף במעורבותו נושא הדיון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מצא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נוכח השינוי בעמדתו ותפיסתו הקודמת את מצבו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מתאים להשתלב בקבוצה טיפולית לעוברי חוק המתקיימת בשירות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שמטרתה לסייע למשתתפים בה בבדיקה ושינוי של דפוסי חשיבה והתנהגות בעייתיים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זיהוי מצבי סיכון ורכישת כלים להתמודדות אפקטיבית עם משברים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התנהגות שולים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חזר שירות המבחן על המלצתו שלעיל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לריצוי מאסר בעבודות שירות והוסיף המלצה להטיל צו מבחן למשך שנה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בחוות הדעת של הממונה על עבודות שירות נמצא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אינו יכול לבצע עבודות שירות נוכח קיומו של יסוד סביר לחשש לפגיעה בגופו או בחייו של אדם לרבות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וזאת בהתבסס על חוות דעת שניתנה על ידי משטרת ישראל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זו לא המליצה על העסקתו כעובד שירות לאור סכסוך הדמים אשר בו היה מעורב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לדידה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הסכסוך עדיין פתוח ולכן קיימת סכנה לנאשם ומהנאשם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נרשם בחוות הדעת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המעסיקים השונים אינם מוכנים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בשום פנים ואופן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להעסיק עובד שירות אשר יביא לסיכונם וסיכון הבאים בשעריהם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הראיות והטיעונים לעונש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הסדר הטיעון היה על המאשימה להגביל עצמה בטיעוניה לעונש מאסר בפועל בן שבעה 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וקנס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הגישה את הרישום הפלילי של הנאשם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וקובץ פסיקה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לדבריה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המדיניות השיפוטית היא להחמיר בענישה של מבצעי עבירות נשק ולתת ביטוי לערך הציבורי שנפגע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ביטחון ושלום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טענה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החזקה של אקדח שלא כדין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מתקשרת לביצוע מעשי אלימות ולא נעשית למטרות שלום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לדידה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מתחם הענישה נע בין שבעה חודשים לבין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 טענה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הגם שקיימים מקרים בהם הרף התחתון של המתחם צריך להיות ביצוע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זה אינו המקרה כאן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בתוך המתחם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לטעם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מצוי הנאשם ברף התחתון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משום שהאקדח לא היה טעון כאשר נמצא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לנאשם אין עבר רלוונטי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וחלף זמן מאז בוצעה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הפרקליטה הטילה ספק בנימוק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מדוע החזיק באקדח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משום שלדידה מדובר בגרסה כבושה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היא גם הטילה ספק בכנות כוונתו לקחת חלק בטיפול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ושיערה שאף זאת נעשה לצורך הורדת רף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משכך ביקשה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ייגזרו על הנאשם שבעה חודשי מאסר לריצוי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לטעם המדינה זה הוא העונש הראוי גם במקרה בו חוות דעת הממונה על עבודות שירות היתה חיובית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ואדרבא שיש לקבל את עמדת המדינה עכשיו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נמצא שלא ניתן להורות על ביצוע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יש בכך לסכן את הנאשם או אחרים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לשאלתי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השיבה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המשיבה כי התיק הפתוח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המב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תיק שבארכיון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אך הוא לא סגור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וגם לא הועבר מהמשטרה לפרקליטות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התייחס לשאלתי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וגולל את סיפור סכסוך הדמים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בו כביכול מעורב הנאשם ושלדידו כבר אינו רלוונטי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לקוחו נחשד בשנת </w:t>
      </w:r>
      <w:r>
        <w:rPr>
          <w:rFonts w:cs="Arial" w:ascii="Arial" w:hAnsi="Arial"/>
          <w:sz w:val="26"/>
          <w:szCs w:val="26"/>
        </w:rPr>
        <w:t>2013</w:t>
      </w:r>
      <w:r>
        <w:rPr>
          <w:rFonts w:cs="Arial" w:ascii="Arial" w:hAnsi="Arial"/>
          <w:sz w:val="26"/>
          <w:szCs w:val="26"/>
          <w:rtl w:val="true"/>
        </w:rPr>
        <w:t xml:space="preserve"> "</w:t>
      </w:r>
      <w:r>
        <w:rPr>
          <w:rFonts w:ascii="Arial" w:hAnsi="Arial" w:cs="Arial"/>
          <w:sz w:val="26"/>
          <w:sz w:val="26"/>
          <w:szCs w:val="26"/>
          <w:rtl w:val="true"/>
        </w:rPr>
        <w:t>בעבירה שהוא לא קשור אליה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הדבר נודע למשפחת הקורבן של אותה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וחודשים ספורים לאחר זאת נרצח גיס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מאז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המשיך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קרה דבר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מדובר בתקופה של שלוש שנים וחצי בה הנאשם ומשפחתו מתגוררים באותה העיר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 עובד ומעסיק עובדים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ביקש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בית המשפט יאפשר לנאשם לבצע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אף חוות הדעת של הממונה על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הציע שיתאפשר לו לבצע אותן בבית כלא או בתחנת 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יש להתחשב בתקופה הארוכה שעברה מיום מעצר הנאשם בגין העבירה בה הורשע כאן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ליום הגשת כתב האישום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חייו של הנאשם לא נעצרו ואף נולדו לו ולאשתו תאומות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גם הדגיש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את המהפך שמרשו ביצע בחייו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העובדה כי בעבר היו בעניינו תסקירים שליליים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בעוד שהתסקיר האחרון היה חיובי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היה זה שירות המבחן שעדכן מיוזמתו את בית המשפט בנכונות הנאשם להיכנס להליך טיפולי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גם הגיב לתהיית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באשר לכוונותיו האמיתיות של הנאשם באומרו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ששירות המבחן הוא בעל הידע המקצועי להעריך האם הדברים נאמרים מן השפה אל החוץ וזו לא היתה התרשמותו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לטעם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על מתחם העונש להתחיל ברף של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אל לו לבית המשפט לקבל את חוות דעת הממונה על עבודות שירות כסוף פסוק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כן הגיש פסיקה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ונ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עוד 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שהנאשם לקח הלוואה לצורך עסקיו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 בעל משכנתא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ולכן ביקש שהנאשם לא ינותק מעבודתו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כפי שגם המליץ שירות המבחן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עוד הוגש מכתב השחרור של אשת הנאשם מבית החולים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עקב לידתה זמן קצר לפני הדיון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גם הוסיף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שאם יש צורך ברכיב כספי מוגדל על חשבון בסיס אחר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הדבר מקובל על הנאשם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הביע חרטה על מעשיו ולקח עליהם אחריות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סיפר שהחל משנת </w:t>
      </w:r>
      <w:r>
        <w:rPr>
          <w:rFonts w:cs="Arial" w:ascii="Arial" w:hAnsi="Arial"/>
          <w:sz w:val="26"/>
          <w:szCs w:val="26"/>
        </w:rPr>
        <w:t>2008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עבר הליך שיקומי ומשנת </w:t>
      </w:r>
      <w:r>
        <w:rPr>
          <w:rFonts w:cs="Arial" w:ascii="Arial" w:hAnsi="Arial"/>
          <w:sz w:val="26"/>
          <w:szCs w:val="26"/>
        </w:rPr>
        <w:t>2010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 עבר כל 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למעט זו עליה הורשע כאן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סיפר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לא היה נוכח בלידתם של שלושת ילדיו הראשונים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וזו הפעם הראשונה שהוא חווה יחד עם אשתו את ההיריון והלידה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עמוד השדרה של עסקיו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בהם עובדים </w:t>
      </w:r>
      <w:r>
        <w:rPr>
          <w:rFonts w:cs="Arial" w:ascii="Arial" w:hAnsi="Arial"/>
          <w:sz w:val="26"/>
          <w:szCs w:val="26"/>
        </w:rPr>
        <w:t>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המפרנסים </w:t>
      </w:r>
      <w:r>
        <w:rPr>
          <w:rFonts w:cs="Arial" w:ascii="Arial" w:hAnsi="Arial"/>
          <w:sz w:val="26"/>
          <w:szCs w:val="26"/>
        </w:rPr>
        <w:t>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משפחות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הביע פחד ולחץ מהאפשרות שיישלח לכלא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ואמר כי אמנם בעבר לא חשש להישלח לכלא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כיום מצבו שונה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שב וביקש מבית המשפט שיתחשב במצבו האישי ובמצב משפחתו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לאחר ששמעתי ושקלתי את טענות הצדדים והפסיקה שהציגו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הוריתי לנציג הממונה על עבודות שירות לבוא בפניי עם החומר המודיעיני שבבסיס חוות דעתו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שאוכל להעריכם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בדיון המשלים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30.3.17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שמעתי את טיעוני הצדדים באשר לתחולת חוות דעת הממונה וסמכות בית המשפט בהתייחס להטלת עונש של מאסר בדרך ביצוע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צד אחד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הוצג לי החומר המודיעיני האמור ושמעתי הסברים נוספים בענין מקצין מודיעין פקד יוסי גואטה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שמעתי את קצינת המיון בעבודות שירות מחוז מרכז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רחל מאירי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סקרה את אפשרויות מקומות עבודות השירות באזור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דיון לפי </w:t>
      </w:r>
      <w:hyperlink r:id="rId15">
        <w:r>
          <w:rPr>
            <w:rStyle w:val="Hyperlink"/>
            <w:rFonts w:ascii="Arial" w:hAnsi="Arial" w:cs="Arial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סימן א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  <w:lang w:val="en-US" w:eastAsia="en-US"/>
          </w:rPr>
          <w:t>'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lang w:val="en-US" w:eastAsia="en-US"/>
          </w:rPr>
          <w:t>1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בפרק ו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  <w:lang w:val="en-US" w:eastAsia="en-US"/>
          </w:rPr>
          <w:t>'</w:t>
        </w:r>
      </w:hyperlink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בחוק 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הבניית שיקול הדעת השיפוטי בענישה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 xml:space="preserve">) –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תיקון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113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לחוק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מתחם העונש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hyperlink r:id="rId1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 נאמר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המשפט יקבע מתחם עונש הולם למעשה העבירה שביצע הנאשם בהתאם לעיקרון המנחה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ולשם כך יתחשב בערך החברתי שנפגע מביצוע העבירה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במידת הפגיעה בו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Arial" w:ascii="Arial" w:hAnsi="Arial"/>
          <w:b/>
          <w:bCs/>
          <w:sz w:val="26"/>
          <w:szCs w:val="26"/>
        </w:rPr>
        <w:t>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בסעיף </w:t>
      </w:r>
      <w:r>
        <w:rPr>
          <w:rFonts w:cs="Arial" w:ascii="Arial" w:hAnsi="Arial"/>
          <w:sz w:val="26"/>
          <w:szCs w:val="26"/>
        </w:rPr>
        <w:t>40</w:t>
      </w:r>
      <w:r>
        <w:rPr>
          <w:rFonts w:ascii="Arial" w:hAnsi="Arial" w:cs="Arial"/>
          <w:sz w:val="26"/>
          <w:sz w:val="26"/>
          <w:szCs w:val="26"/>
          <w:rtl w:val="true"/>
        </w:rPr>
        <w:t>ב בחוק נאמר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מצא לנכון להדגיש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עקרון ההלימה מביא בחשבון את חומרת מעשה העבירה בנסיבותיו ואת מידת אשמו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להתחשב לא רק בסוג העבירה שבוצעה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אלא גם בנסיבות שבהן בוצעה ובמידת אשמו של הנאשם בביצועה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בקביעת המתחם יובאו רק השיקולים הקשורים בעבירה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בעוד שנסיבותיו האישיות של הנאשם מובאות בחשבון אך במניין השיקולים בקביעת העונש המתאים בתוך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ציין בית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אומנם המחוקק לא התייחס להיקפו הרצוי של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ברור כי מתחם רחב מאוד לא ישרת את תכליתו של תיקון </w:t>
      </w:r>
      <w:r>
        <w:rPr>
          <w:rFonts w:cs="Arial" w:ascii="Arial" w:hAnsi="Arial"/>
          <w:sz w:val="26"/>
          <w:szCs w:val="26"/>
        </w:rPr>
        <w:t>113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8641/12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סעד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5.8.13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פסקאות </w:t>
      </w:r>
      <w:r>
        <w:rPr>
          <w:rFonts w:cs="Arial" w:ascii="Arial" w:hAnsi="Arial"/>
          <w:sz w:val="26"/>
          <w:szCs w:val="26"/>
        </w:rPr>
        <w:t>23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כן הדגיש בית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הנסיבות הקשורות לביצוע העבירה הנבחנות בעת קביעת מתחם הענישה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כמפורט </w:t>
      </w:r>
      <w:hyperlink r:id="rId1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ט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ascii="Arial" w:hAnsi="Arial" w:cs="Arial"/>
          <w:sz w:val="26"/>
          <w:sz w:val="26"/>
          <w:szCs w:val="26"/>
          <w:rtl w:val="true"/>
        </w:rPr>
        <w:t>חוק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והנסיבות שאינן קשורות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הנבחנות בגזירת העונש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כמפורט </w:t>
      </w:r>
      <w:hyperlink r:id="rId1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יא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ascii="Arial" w:hAnsi="Arial" w:cs="Arial"/>
          <w:sz w:val="26"/>
          <w:sz w:val="26"/>
          <w:szCs w:val="26"/>
          <w:rtl w:val="true"/>
        </w:rPr>
        <w:t>חוק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אינן רשימה סגורה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ואין בנסיבות שציין המחוקק שאותן פרט במפורש כדי לגרוע מסמכותו של בית המשפט לשקול נסיבות נוספות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יב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ascii="Arial" w:hAnsi="Arial" w:cs="Arial"/>
          <w:sz w:val="26"/>
          <w:sz w:val="26"/>
          <w:szCs w:val="26"/>
          <w:rtl w:val="true"/>
        </w:rPr>
        <w:t>חוק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הווה אומר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פי ההלכה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עתה עליי להידרש לשלוש אמות מידה</w:t>
      </w:r>
      <w:r>
        <w:rPr>
          <w:rFonts w:cs="Arial" w:ascii="Arial" w:hAnsi="Arial"/>
          <w:sz w:val="26"/>
          <w:szCs w:val="26"/>
          <w:rtl w:val="true"/>
        </w:rPr>
        <w:t>: (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הערך החברתי שנפגע מביצוע העבירה ומידת הפגיעה בו</w:t>
      </w:r>
      <w:r>
        <w:rPr>
          <w:rFonts w:cs="Arial" w:ascii="Arial" w:hAnsi="Arial"/>
          <w:sz w:val="26"/>
          <w:szCs w:val="26"/>
          <w:rtl w:val="true"/>
        </w:rPr>
        <w:t>; (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מדיניות הענישה הנהוגה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-(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הנסיבות הקשורות בביצוע העבירה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5668/13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17.3.16</w:t>
      </w:r>
      <w:r>
        <w:rPr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32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בפסק דינו של 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השופט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סולברג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אשר 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ערכים המוגנים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בבסיס העבירות בהן עסקינן – </w:t>
      </w:r>
      <w:r>
        <w:rPr>
          <w:rFonts w:ascii="Arial" w:hAnsi="Arial" w:cs="Arial"/>
          <w:sz w:val="26"/>
          <w:sz w:val="26"/>
          <w:szCs w:val="26"/>
          <w:rtl w:val="true"/>
        </w:rPr>
        <w:t>האיסור בהחזקת נשק ללא רישיון נועדה לשמור על בטחון ושלום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ולהבטיח כי זה לא יתגלגל לידי אלו המבקשים לעשות בו שימוש שלא כדין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כדבריו של המשנה לנשיאה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השופט א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רובינשטיין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נשק הוא נשק הוא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ובנסיבות הישראליות נשק בידיים לא מורשות עלול להתגלגל למקום לא טוב וכדברי האומר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מחזה שבמערכתו הראשונה נראה אקדח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עשוי האקדח לירות במערכה האחרונה</w:t>
      </w:r>
      <w:r>
        <w:rPr>
          <w:rFonts w:cs="Arial" w:ascii="Arial" w:hAnsi="Arial"/>
          <w:b/>
          <w:bCs/>
          <w:sz w:val="26"/>
          <w:szCs w:val="26"/>
          <w:rtl w:val="true"/>
        </w:rPr>
        <w:t>'...</w:t>
      </w:r>
      <w:r>
        <w:rPr>
          <w:rFonts w:cs="Arial" w:ascii="Arial" w:hAnsi="Arial"/>
          <w:sz w:val="26"/>
          <w:szCs w:val="26"/>
          <w:rtl w:val="true"/>
        </w:rPr>
        <w:t>" (</w:t>
      </w: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5220/09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עוואודה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31.12.09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עוואודה</w:t>
      </w:r>
      <w:r>
        <w:rPr>
          <w:rFonts w:cs="Arial" w:ascii="Arial" w:hAnsi="Arial"/>
          <w:sz w:val="26"/>
          <w:szCs w:val="26"/>
          <w:rtl w:val="true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</w:rPr>
        <w:t>פסקה י</w:t>
      </w:r>
      <w:r>
        <w:rPr>
          <w:rFonts w:cs="Arial" w:ascii="Arial" w:hAnsi="Arial"/>
          <w:sz w:val="26"/>
          <w:szCs w:val="26"/>
          <w:rtl w:val="true"/>
        </w:rPr>
        <w:t xml:space="preserve">'). </w:t>
      </w:r>
      <w:r>
        <w:rPr>
          <w:rFonts w:ascii="Arial" w:hAnsi="Arial" w:cs="Arial"/>
          <w:sz w:val="26"/>
          <w:sz w:val="26"/>
          <w:szCs w:val="26"/>
          <w:rtl w:val="true"/>
        </w:rPr>
        <w:t>משכך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2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ב</w:t>
      </w:r>
      <w:hyperlink r:id="rId2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קובע כי </w:t>
      </w:r>
      <w:r>
        <w:rPr>
          <w:rFonts w:ascii="Arial" w:hAnsi="Arial" w:cs="Arial"/>
          <w:sz w:val="26"/>
          <w:sz w:val="26"/>
          <w:szCs w:val="26"/>
          <w:rtl w:val="true"/>
        </w:rPr>
        <w:t>הרוכש או המחזיק נשק בלא רשות על פי דין להחזקתו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דינו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מאסר שבע שנים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אשר 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מדיניות הענישה הנהוגה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135/17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בסל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8.3.17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עניינו של נאשם שהורשע על פי הודאתו בעבירה של החזקה ונשיאת נשק לפי </w:t>
      </w:r>
      <w:hyperlink r:id="rId2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וסעיף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משום שקרוב משפחה של הנאשם רכש תת מקלע מאולתר ומחסנית ולבקשתו הנאשם החביא אותם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המשפט המחוזי הושת על הנאשם עונש של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וקנס בסך </w:t>
      </w:r>
      <w:r>
        <w:rPr>
          <w:rFonts w:cs="Arial" w:ascii="Arial" w:hAnsi="Arial"/>
          <w:sz w:val="26"/>
          <w:szCs w:val="26"/>
        </w:rPr>
        <w:t>3,000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קיבל את עמדת הפרקליטות והחמיר את עונש המאסר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5921/08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6.5.09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נדון עניינו של 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שהורשע על סמך הודאתו בעבירה של החזקת 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אקדח עם שתי מחסניות וכדורים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בביתו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3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ב</w:t>
      </w:r>
      <w:hyperlink r:id="rId3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החזיק באקדח לצרכי הגנה עצמית לאחר שביתו נפרץ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והפורץ אף איים על אשתו באונס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משפט השלום לא הטיל על הנאשם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המחוזי הטיל עליו שמונה 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ובערעור בבית משפט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הופחת העונש 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שישה חודשי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3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חי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12213-10-16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בארין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15.2.17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עניינו של נאשם שהורשע על סמך הודאתו בעבירה של נשיאת נשק ותחמושת בניגוד </w:t>
      </w:r>
      <w:hyperlink r:id="rId3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לסעיף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וסיפא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3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משום שברכבו התגלה כלי נשק אוטומטי ומחסנית ריקה ובמכנסיו היה כדור התואם את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בית המשפט קבע מתחם עונש הנע בין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לבין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והשית על הנאשם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3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28360-02-13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בלאל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1.12.13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עניינו של נאשם שהורשע על סמך הודאתו בעבירות של נשיאת נשק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3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וסיפא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הפרעה לשוטר במילוי תפקידו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עבירה של נהיגה ללא רישיון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נהיגה ללא ביטוח ונהיגה תחת השפעת משקאות משכרים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המלצת שירות המבחן היתה להשית על הנאשם מאסר בדרך של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קבע כי מתחם העונש ההולם לעבירות נשיאת נשק נע בין שישה חודשי מאסר לשנתיים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שקל את נסיבותיו האישיות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לרבות העובדה כי אשמתו בגין נשיאת הנשק היתה קונסטרוקטיבית בלבד וכי מי שנשא בפועל וירה בנשק היה אדם אחר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ודן את הנאשם 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שישה חודשי מאסר לריצוי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וקנס של </w:t>
      </w:r>
      <w:r>
        <w:rPr>
          <w:rFonts w:cs="Arial" w:ascii="Arial" w:hAnsi="Arial"/>
          <w:sz w:val="26"/>
          <w:szCs w:val="26"/>
        </w:rPr>
        <w:t>10,000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3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חי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17917-08-10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פרץ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17.1.11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עניינו של נאשם שהורשע בעבירות של החזקת 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אקדח עט ושלושה כדורים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והחזקת סם לצריכה עצמי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טען שהחזיק באקדח לצרכי הגנה עצמית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הנאשם נגזרו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שישה חודשי מאסר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לריצוי בעבודות שירות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ושמונה חודשי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3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חי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7566-11-09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סביחאת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4.1.11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עניינו של נאשם שהורשע על פי הודאתו בעבירות לפי </w:t>
      </w:r>
      <w:hyperlink r:id="rId3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40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רישא </w:t>
      </w:r>
      <w:hyperlink r:id="rId4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4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משום שנשא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הוביל והחזיק שלא כדין נשק ברכבו מתחת לריפוד במושב שליד הנהג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אציין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בדיקת מעבדת הנשק במטה הארצי של משטרת ישראל קבעה כי מדובר באקדח שאינו תקין ולא ניתן לבצע בו ירי במצב בו התקבל לבדיקה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ולדבר ניתן משקל עת נגזר דין הנאשם 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שישה חודשי מאסר לריצוי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וקנס בסך </w:t>
      </w:r>
      <w:r>
        <w:rPr>
          <w:rFonts w:cs="Arial" w:ascii="Arial" w:hAnsi="Arial"/>
          <w:sz w:val="26"/>
          <w:szCs w:val="26"/>
        </w:rPr>
        <w:t>3,000</w:t>
      </w:r>
      <w:r>
        <w:rPr>
          <w:rFonts w:cs="Arial" w:ascii="Arial" w:hAnsi="Arial"/>
          <w:sz w:val="26"/>
          <w:szCs w:val="26"/>
          <w:rtl w:val="true"/>
        </w:rPr>
        <w:t xml:space="preserve"> ₪.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לבקשת המאשימה עיינתי גם בת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שלום נצ</w:t>
      </w:r>
      <w:r>
        <w:rPr>
          <w:rFonts w:cs="Arial" w:ascii="Arial" w:hAnsi="Arial"/>
          <w:sz w:val="26"/>
          <w:szCs w:val="26"/>
          <w:rtl w:val="true"/>
        </w:rPr>
        <w:t xml:space="preserve">') </w:t>
      </w:r>
      <w:r>
        <w:rPr>
          <w:rFonts w:cs="Arial" w:ascii="Arial" w:hAnsi="Arial"/>
          <w:sz w:val="26"/>
          <w:szCs w:val="26"/>
        </w:rPr>
        <w:t>52445-07-12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זועבי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3.6.13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שעניינו מזכיר את זה שבפניי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שם הורשע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שלו עבר פלילי נושן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הודאתו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בהחזקת נשק ותחמושת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אקדח וכ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עבירות לפי </w:t>
      </w:r>
      <w:hyperlink r:id="rId4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וסיפא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שם טען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רכש את האקדח לצורכי הגנה עצמית וכי פרנסת משפחתו תלויה בעבודתו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חשש שתפגע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המליץ על עונש בדמות שירות לתועלת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משפט השלום קבע מתחם עונש שנע בין שמונה חודשי מאסר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וגזר על הנאשם מאסר בפועל של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של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וקנס בסכום של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בערעור על פסק דין זה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4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נצ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53396-06-13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זועבי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29.10.13</w:t>
      </w:r>
      <w:r>
        <w:rPr>
          <w:rFonts w:cs="Arial" w:ascii="Arial" w:hAnsi="Arial"/>
          <w:sz w:val="26"/>
          <w:szCs w:val="26"/>
          <w:rtl w:val="true"/>
        </w:rPr>
        <w:t xml:space="preserve">))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שלא הוגש לי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הורחב מתחם העונש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ונקבע על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עד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ועונשו של הנאשם הופחת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לשבעה חודשי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כן הפנתה אותי המאשימה ל</w:t>
      </w:r>
      <w:hyperlink r:id="rId4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שלום רמ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35552-12-11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עבייד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1.5.13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שם הורשע הנאשם בהחזקת אקדח שהיה עטוף בגרב בארון הבגדים ונגזרו עליו שבעה 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וקנס בסך </w:t>
      </w:r>
      <w:r>
        <w:rPr>
          <w:rFonts w:cs="Arial" w:ascii="Arial" w:hAnsi="Arial"/>
          <w:sz w:val="26"/>
          <w:szCs w:val="26"/>
        </w:rPr>
        <w:t>1,000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אלא שגם על תיק זה הוגש ערעור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שלא הוגש הגם שנדמה שנדחה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המדובר בפסק דין שאינו נגיש לי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hyperlink r:id="rId4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30233-05-13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עבייד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13.10.13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עוד הפנתה אותי המאשימה ל</w:t>
      </w:r>
      <w:hyperlink r:id="rId4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שלום 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47766-07-12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ריאן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15.1.14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בו נגזר על הנאשם תשעה 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על זה הוגש ערעור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שנדחה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hyperlink r:id="rId4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57617-02-14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ריאן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16.11.14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כן הופניתי ל</w:t>
      </w:r>
      <w:hyperlink r:id="rId4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שלום עכו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19862-07-09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דבי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17.12.13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עליו הוגש ערעור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שהתקבל והעונש הופחת מ</w:t>
      </w:r>
      <w:r>
        <w:rPr>
          <w:rFonts w:cs="Arial" w:ascii="Arial" w:hAnsi="Arial"/>
          <w:sz w:val="26"/>
          <w:szCs w:val="26"/>
          <w:u w:val="single"/>
          <w:rtl w:val="true"/>
        </w:rPr>
        <w:t>-</w:t>
      </w:r>
      <w:r>
        <w:rPr>
          <w:rFonts w:cs="Arial" w:ascii="Arial" w:hAnsi="Arial"/>
          <w:sz w:val="26"/>
          <w:szCs w:val="26"/>
          <w:u w:val="single"/>
        </w:rPr>
        <w:t>10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חודשי מאסר בפועל לשישה חודשי מאסר לריצוי בעבודות שירות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5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חי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30827-01-14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דבי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3.4.14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מצער הדבר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גם הסניגור חטא באמור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עת הפנה אותי ל</w:t>
      </w:r>
      <w:hyperlink r:id="rId5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שלום 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7434-05-10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סובובסקי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12.05.11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מבלי להפנותי גם לערעור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5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57074-05-11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סובובסקי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8.8.11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כך או אחרת מדובר במקרה השונה מהותית מזה שבפניי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סבורני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טוב יעשו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הצדדים אם להבא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יגישו פסיקה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יצרפו גם את פסקי הדין בערעור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ובוודאי כי הם נדרשים לעשות כן כאשר הערעור מתקבל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נוכח הרשום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האמור נכון ביתר שאת כלפי המאשימה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hyperlink r:id="rId5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ט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מונה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הנסיבות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הקשורות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להתחשב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בקביעת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מתחם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במקרה דנן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התלווה לעבירה תכנון מיוחד ולא נגרם כל נזק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יש להביא בחשבון שעל אף שהנאשם נעצר כאשר ברשותו האקדח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זה לא היה טעון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כך שהנזק שהוא יכול היה לגרום באמצעותו במועד בו נתפס הנו כמעט ותיאורטי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בכתב האישום אין כל אזכור כי לנאשם היתה תחמושת לכלי הנשק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ברור כי נזק רב יכול היה להיגרם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לו היה מגיע הכלי לידיו של אחר שהיה עושה בו שימוש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יחד עם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גם להתחשב במניעים של הנאשם להחזיק בנשק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נסיבות העבירה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לאחר ששמעתי את דברי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הצדדים והנאשם אני נותן אמון בגרסתו כי חשש לחייו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נוכח סכסוך הדמים שהביא למות גיסו זמן קצר קודם לכן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ואולם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בעניין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חשוב להבהיר לציבור הרחב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ככלל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נשיאת כלי משחית מותרת בארץ אך למתי מעט ולצרכי הגנה על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אל לו לבית המשפט ליתן יד לעשיית דין עצמי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באמצעי אלימות קטלניים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ואפילו מטעמי הגנה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אז אנו מסתכנים בקידום שלטון האנרכיה ממנו יפגעו האזרחים שומרי החוק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בבחינת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איש הישר בעיניו ייעשה</w:t>
      </w:r>
      <w:r>
        <w:rPr>
          <w:rFonts w:cs="Arial" w:ascii="Arial" w:hAnsi="Arial"/>
          <w:sz w:val="26"/>
          <w:szCs w:val="26"/>
          <w:rtl w:val="true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</w:rPr>
        <w:t>שופטים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נוכח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סמך </w:t>
      </w:r>
      <w:r>
        <w:rPr>
          <w:rFonts w:ascii="Arial" w:hAnsi="Arial" w:cs="Arial"/>
          <w:sz w:val="26"/>
          <w:sz w:val="26"/>
          <w:szCs w:val="26"/>
          <w:rtl w:val="true"/>
        </w:rPr>
        <w:t>מכלול השיקולים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היינו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הערך החברתי שנפגע מביצוע העבירה ועקרון ההלימה בין חומרת מעשה העבירה בנסיבותיו של הנאשם ומידת אשמו הוא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שעיינתי בפסיקה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ובהתחשב במדיניות הענישה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אני קובע את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מתחם הענישה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ההולם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כנע בין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שישה חודשי מאסר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לריצוי בדרך של עבודות שירות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מאסר על תנאי וקנס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לנאשם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הוא רחוק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לפני כעשור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ולא רלוונטי לעניין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עבירות סמים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כעקרון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ניתן להתחשב בפגיעה העלולה להיגרם לנאשם ומשפחתו עקב מאסרו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זו אינהרנטית לעצם הטלת העונש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במקרה זה יש להביא בחשבון את משך הזמן שעבר מעת ביצוע העבירה ומעצר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באוקטובר </w:t>
      </w:r>
      <w:r>
        <w:rPr>
          <w:rFonts w:cs="Arial" w:ascii="Arial" w:hAnsi="Arial"/>
          <w:sz w:val="26"/>
          <w:szCs w:val="26"/>
        </w:rPr>
        <w:t>2013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ועד להגשת 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בדצמבר </w:t>
      </w:r>
      <w:r>
        <w:rPr>
          <w:rFonts w:cs="Arial" w:ascii="Arial" w:hAnsi="Arial"/>
          <w:sz w:val="26"/>
          <w:szCs w:val="26"/>
        </w:rPr>
        <w:t>2015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היינו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למעלה משנתיים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כאשר אין מדובר בתיק מסובך עובדתית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הדורש חקירה או פיצוח ראיות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לא ניתן לצפות מהנאשם להפסיק לחיות את חייו עד אשר עניינו יבוא לכדי סיום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והוא אכן המשיך בחייו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פיתח את עסקיו ולווה כספים לצורך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ואף הרחיב את משפחתו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שוכנעתי על ידי הנאשם ובא כוחו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אם ייאסר יהווה הדבר פגיעה קטלנית בעסקיו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בפרנסת משפחתו ובשיקומו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6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חוות דעת הממונה ושיקול דעת בית המשפט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שמעתי את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את חרטתו על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ואת בקשתו הכֵֵּּנה מבית המשפט שלא לשוב לכלא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נוכח חששו שיתדרדר חזרה לדפוסי חייו הקודמים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עיינתי היטב גם בתסקיר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שהובא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ובהמלצותיו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סבור אני שצודק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אם כוונותיו של הנאשם היו כוזבות היה שירות המבחן מבחין בזאת והמלצותיו היו שונות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ניתן להתעלם מהישגיו של הנאשם לאורך העשור האחרון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הפסקת השימוש בסמים ויציאתו ממעגל הפשע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אף הקשיים הטמונים בכך לאדם כמותו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לו הכרות עם מערכת המשפט מגיל צעיר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אכן</w:t>
      </w:r>
      <w:r>
        <w:rPr>
          <w:rFonts w:cs="Arial" w:ascii="Arial" w:hAnsi="Arial"/>
          <w:sz w:val="26"/>
          <w:szCs w:val="26"/>
          <w:rtl w:val="true"/>
        </w:rPr>
        <w:t>,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דרך המלך בכגון דא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בסופו של 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צריכה להיות ככלל מאסר מאחורי סורג ובריח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וזאת בראש וראשונה להרתעת היחיד והרבים</w:t>
      </w:r>
      <w:r>
        <w:rPr>
          <w:rFonts w:cs="Arial" w:ascii="Arial" w:hAnsi="Arial"/>
          <w:sz w:val="26"/>
          <w:szCs w:val="26"/>
          <w:rtl w:val="true"/>
        </w:rPr>
        <w:t>" 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עוואודה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פסקה י</w:t>
      </w:r>
      <w:r>
        <w:rPr>
          <w:rFonts w:cs="Arial" w:ascii="Arial" w:hAnsi="Arial"/>
          <w:sz w:val="26"/>
          <w:szCs w:val="26"/>
          <w:rtl w:val="true"/>
        </w:rPr>
        <w:t xml:space="preserve">'), </w:t>
      </w:r>
      <w:r>
        <w:rPr>
          <w:rFonts w:ascii="Arial" w:hAnsi="Arial" w:cs="Arial"/>
          <w:sz w:val="26"/>
          <w:sz w:val="26"/>
          <w:szCs w:val="26"/>
          <w:rtl w:val="true"/>
        </w:rPr>
        <w:t>אך לטעמי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שיקום הנאשם עד כה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החשש שזה יפַּּגע והנאשם יתדרדר חזרה לפשע ושימוש בסמים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מצדיקים הטלת מאסר בדרך של ביצוע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ואינני רואה איזה רווח יהיה לחברה אם ישלח הנאשם לכלא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ושיקומו המוצלח ייעצר ואף יתערער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חוות הדעת של הממונה על עבודות השירות היא שלילית ובדיון הובהר לי מדוע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מטבע הדברים אינני יכול לחשוף את טיב המידע שהוצג 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סבורני כי חשוב להבהיר שהחשש שהובא בפניי אינו נובע מהנאשם כלפי אחרים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עיינתי בפסיקת שהגישו הצדדים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אין ספק כי שיקול הדעת הסופי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לאמץ את המלצת הממונה על עבודות השירות אם לאו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בין אם היא חיובית או שלילית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נתונה לבית המשפט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5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ץ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7023/11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 אטרש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הממונה על עבודות שירות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מפקדת מחוז מרכז רמלה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7.11.11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פס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hyperlink r:id="rId5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חי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14041-02-16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אגבאריה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21.4.16</w:t>
      </w:r>
      <w:r>
        <w:rPr>
          <w:rFonts w:cs="Arial" w:ascii="Arial" w:hAnsi="Arial"/>
          <w:sz w:val="26"/>
          <w:szCs w:val="26"/>
          <w:rtl w:val="true"/>
        </w:rPr>
        <w:t>)).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הבעיה שהתעוררה בפניי אינה נוגעת לפרשנות הלכתית של סמכות בית המשפט כי אם לעובדות המקרה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לטעם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עו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 דן שורקי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שייצג בדיון המשלים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עליי לבחון האם קיים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יסוד סביר לחשש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לפגיעה בנאשם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כלשון </w:t>
      </w:r>
      <w:hyperlink r:id="rId5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51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5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לדידו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אפילו היה מוכן הנאשם לקחת על עצמו את הסיכון לפגיעה בו עת יבצע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הרי שתתכן פגיעה בסובבים אותו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וזאת אין לאפשר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אלא שלא שוכנעתי שאכן יש יסוד סביר לחשש לפגיעה בנאשם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אכן בין המידעים שהוצגו לי היה אחד שהוא עדכני למדי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עיקר החשש שהוצג לי אינו אלא השערה בדבר אירועים שאולי יתרחשו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ואולי לא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נוכח זאת סבורני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שלילת האפשרות לרצות עונש בדרך של ביצוע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משום שאחרים אולי יהוו איום על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שעה ששליחתו לכלא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עלולה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ולטעמי בהסתברות גבוהה 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לעלות לו בהמשך קיום מסלול חיים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מתעלמת מטובתו ומטובת הציבור ואינה מצויה ביחס ישיר לכובד אשמתו בגין העבירה אותה ביצע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העונש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משכך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שקלול הנתונים האמורים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העקרונות והשיקולים מכוח תיקון </w:t>
      </w:r>
      <w:r>
        <w:rPr>
          <w:rFonts w:cs="Arial" w:ascii="Arial" w:hAnsi="Arial"/>
          <w:sz w:val="26"/>
          <w:szCs w:val="26"/>
        </w:rPr>
        <w:t>113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5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השיקול של הרתעת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והרתעת אחרים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מתן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משקל </w:t>
      </w:r>
      <w:r>
        <w:rPr>
          <w:rFonts w:ascii="Arial" w:hAnsi="Arial" w:cs="Arial"/>
          <w:sz w:val="26"/>
          <w:sz w:val="26"/>
          <w:szCs w:val="26"/>
          <w:rtl w:val="true"/>
        </w:rPr>
        <w:t>להודאת 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</w:t>
      </w:r>
      <w:r>
        <w:rPr>
          <w:rFonts w:ascii="Arial" w:hAnsi="Arial" w:cs="Arial"/>
          <w:sz w:val="26"/>
          <w:sz w:val="26"/>
          <w:szCs w:val="26"/>
          <w:rtl w:val="true"/>
        </w:rPr>
        <w:t>בעיקר נוכח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שיקומו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עד היום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ומתוך תקווה שלא יפריך את האמון אשר ניתן בו עתה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אני גוזר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850" w:start="127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שישה חודשי מאסר שיבוצעו בדרך של עבודות שירות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850" w:start="127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צו מבחן למשך שנה מהיום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מובהר לנאשם כי אם לא יבצע את המבחן יהיה ניתן להפקיעו ולשוב ולגזור את דינו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850" w:start="127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מאסר על תנאי של שנים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עשר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והתנאי הוא שבמשך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שנים מיום מתן גזר הדין לא יעבור עבירה לפי </w:t>
      </w:r>
      <w:hyperlink r:id="rId6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6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850" w:start="127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b/>
          <w:bCs/>
          <w:sz w:val="26"/>
          <w:szCs w:val="26"/>
        </w:rPr>
        <w:t>30,000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₪.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הקנס ישולם בשלושה תשלומים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הראשון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לא יאוחר מיום </w:t>
      </w:r>
      <w:r>
        <w:rPr>
          <w:rFonts w:cs="Arial" w:ascii="Arial" w:hAnsi="Arial"/>
          <w:sz w:val="26"/>
          <w:szCs w:val="26"/>
        </w:rPr>
        <w:t>4.5.17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השני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לא יאוחר מיום </w:t>
      </w:r>
      <w:r>
        <w:rPr>
          <w:rFonts w:cs="Arial" w:ascii="Arial" w:hAnsi="Arial"/>
          <w:sz w:val="26"/>
          <w:szCs w:val="26"/>
        </w:rPr>
        <w:t>4.6.17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והשלישי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לא יאוחר מיום </w:t>
      </w:r>
      <w:r>
        <w:rPr>
          <w:rFonts w:cs="Arial" w:ascii="Arial" w:hAnsi="Arial"/>
          <w:sz w:val="26"/>
          <w:szCs w:val="26"/>
        </w:rPr>
        <w:t>4.7.17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יאוחר מה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בכל אחד מהחודשים האמורים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60"/>
        <w:ind w:start="127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אם לא ישולם אחד מתשלומי הקנס במועד הקבוע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תעמוד יתרת הקנס לפירעון מיידי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בגין כל תשלום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ישולם במועדו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יישא הנאשם בעונש של  חודש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 הממונה על עבודות שירות ליתן חוות דעת משלימה בדבר מקום ביצוע עבודות השירות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נוכח חששות המאשימה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לשקול ביצע העבודות במתקן משטרתי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חוות דעת הממונה תוגש לא יאוחר מיום </w:t>
      </w:r>
      <w:r>
        <w:rPr>
          <w:rFonts w:cs="Arial" w:ascii="Arial" w:hAnsi="Arial"/>
          <w:b/>
          <w:bCs/>
          <w:sz w:val="26"/>
          <w:szCs w:val="26"/>
          <w:u w:val="single"/>
        </w:rPr>
        <w:t>4.5.17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נקבע לדיון משלים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ביום </w:t>
      </w:r>
      <w:r>
        <w:rPr>
          <w:rFonts w:cs="Arial" w:ascii="Arial" w:hAnsi="Arial"/>
          <w:b/>
          <w:bCs/>
          <w:sz w:val="26"/>
          <w:szCs w:val="26"/>
          <w:u w:val="single"/>
        </w:rPr>
        <w:t>11.5.17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שעה </w:t>
      </w:r>
      <w:r>
        <w:rPr>
          <w:rFonts w:cs="Arial" w:ascii="Arial" w:hAnsi="Arial"/>
          <w:b/>
          <w:bCs/>
          <w:sz w:val="26"/>
          <w:szCs w:val="26"/>
          <w:u w:val="single"/>
        </w:rPr>
        <w:t>12:00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המזכירות תשלח העתקים לממונה על עבודות שירות ותפנה תשומת לבו לסעיף </w:t>
      </w:r>
      <w:r>
        <w:rPr>
          <w:rFonts w:cs="Arial" w:ascii="Arial" w:hAnsi="Arial"/>
          <w:b/>
          <w:bCs/>
          <w:lang w:val="en-US" w:eastAsia="en-US"/>
        </w:rPr>
        <w:t>48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לעיל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tbl>
      <w:tblPr>
        <w:bidiVisual w:val="true"/>
        <w:tblW w:w="2511" w:type="dxa"/>
        <w:jc w:val="start"/>
        <w:tblInd w:w="55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  <w:lang w:val="en-US" w:eastAsia="en-US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ניתן היום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ניסן תשע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06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אפריל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2017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בנוכחות הנאשם וב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הצדדים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</w:p>
        </w:tc>
      </w:tr>
      <w:tr>
        <w:trPr/>
        <w:tc>
          <w:tcPr>
            <w:tcW w:w="251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אהרן פרקש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14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39071-12-15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עמאר מצרי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0"/>
        </w:tabs>
        <w:ind w:start="2165" w:hanging="1020"/>
      </w:pPr>
      <w:rPr>
        <w:b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2950" w:hanging="1020"/>
      </w:pPr>
      <w:rPr>
        <w:b/>
      </w:rPr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3795" w:hanging="1080"/>
      </w:pPr>
      <w:rPr>
        <w:b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4580" w:hanging="1080"/>
      </w:pPr>
      <w:rPr>
        <w:b/>
      </w:rPr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5725" w:hanging="1440"/>
      </w:pPr>
      <w:rPr>
        <w:b/>
      </w:rPr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6870" w:hanging="1800"/>
      </w:pPr>
      <w:rPr>
        <w:b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7655" w:hanging="1800"/>
      </w:pPr>
      <w:rPr>
        <w:b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8800" w:hanging="21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1">
    <w:name w:val="WW8Num1z1"/>
    <w:qFormat/>
    <w:rPr>
      <w:b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51b.b1.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c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b" TargetMode="External"/><Relationship Id="rId12" Type="http://schemas.openxmlformats.org/officeDocument/2006/relationships/hyperlink" Target="http://www.nevo.co.il/law/70301/fCa1S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fCa1S" TargetMode="External"/><Relationship Id="rId16" Type="http://schemas.openxmlformats.org/officeDocument/2006/relationships/hyperlink" Target="http://www.nevo.co.il/law/70301/40c.a" TargetMode="External"/><Relationship Id="rId17" Type="http://schemas.openxmlformats.org/officeDocument/2006/relationships/hyperlink" Target="http://www.nevo.co.il/case/5573417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40jb" TargetMode="External"/><Relationship Id="rId21" Type="http://schemas.openxmlformats.org/officeDocument/2006/relationships/hyperlink" Target="http://www.nevo.co.il/case/7958246" TargetMode="External"/><Relationship Id="rId22" Type="http://schemas.openxmlformats.org/officeDocument/2006/relationships/hyperlink" Target="http://www.nevo.co.il/case/6000182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2006503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6040482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1500873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276336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case/4782546" TargetMode="External"/><Relationship Id="rId38" Type="http://schemas.openxmlformats.org/officeDocument/2006/relationships/hyperlink" Target="http://www.nevo.co.il/case/4354827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0301/144.c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case/7697147" TargetMode="External"/><Relationship Id="rId45" Type="http://schemas.openxmlformats.org/officeDocument/2006/relationships/hyperlink" Target="http://www.nevo.co.il/case/4551034" TargetMode="External"/><Relationship Id="rId46" Type="http://schemas.openxmlformats.org/officeDocument/2006/relationships/hyperlink" Target="http://www.nevo.co.il/case/7871130" TargetMode="External"/><Relationship Id="rId47" Type="http://schemas.openxmlformats.org/officeDocument/2006/relationships/hyperlink" Target="http://www.nevo.co.il/case/3871883" TargetMode="External"/><Relationship Id="rId48" Type="http://schemas.openxmlformats.org/officeDocument/2006/relationships/hyperlink" Target="http://www.nevo.co.il/case/13019896" TargetMode="External"/><Relationship Id="rId49" Type="http://schemas.openxmlformats.org/officeDocument/2006/relationships/hyperlink" Target="http://www.nevo.co.il/case/5895123" TargetMode="External"/><Relationship Id="rId50" Type="http://schemas.openxmlformats.org/officeDocument/2006/relationships/hyperlink" Target="http://www.nevo.co.il/case/11250688" TargetMode="External"/><Relationship Id="rId51" Type="http://schemas.openxmlformats.org/officeDocument/2006/relationships/hyperlink" Target="http://www.nevo.co.il/case/4328629" TargetMode="External"/><Relationship Id="rId52" Type="http://schemas.openxmlformats.org/officeDocument/2006/relationships/hyperlink" Target="http://www.nevo.co.il/case/5098883" TargetMode="External"/><Relationship Id="rId53" Type="http://schemas.openxmlformats.org/officeDocument/2006/relationships/hyperlink" Target="http://www.nevo.co.il/law/70301/40i" TargetMode="External"/><Relationship Id="rId54" Type="http://schemas.openxmlformats.org/officeDocument/2006/relationships/hyperlink" Target="http://www.nevo.co.il/law/70301/40ja" TargetMode="External"/><Relationship Id="rId55" Type="http://schemas.openxmlformats.org/officeDocument/2006/relationships/hyperlink" Target="http://www.nevo.co.il/case/5598666" TargetMode="External"/><Relationship Id="rId56" Type="http://schemas.openxmlformats.org/officeDocument/2006/relationships/hyperlink" Target="http://www.nevo.co.il/case/20941361" TargetMode="External"/><Relationship Id="rId57" Type="http://schemas.openxmlformats.org/officeDocument/2006/relationships/hyperlink" Target="http://www.nevo.co.il/law/70301/51b.b1.1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144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2017-04-12T11:05:00Z</dcterms:created>
  <dc:creator> </dc:creator>
  <dc:description/>
  <cp:keywords/>
  <dc:language>en-IL</dc:language>
  <cp:lastModifiedBy>run</cp:lastModifiedBy>
  <dcterms:modified xsi:type="dcterms:W3CDTF">2017-04-12T11:05:00Z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עמאר מצרי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ProcID=209&amp;PartA=52445&amp;PartB=07&amp;PartC=12</vt:lpwstr>
  </property>
  <property fmtid="{D5CDD505-2E9C-101B-9397-08002B2CF9AE}" pid="9" name="CASESLISTTMP1">
    <vt:lpwstr>5573417;7958246;6000182;22006503;6040482;21500873;6276336;4782546;4354827;7697147;4551034;7871130;3871883;13019896;5895123;11250688;4328629;5098883;5598666;20941361</vt:lpwstr>
  </property>
  <property fmtid="{D5CDD505-2E9C-101B-9397-08002B2CF9AE}" pid="10" name="CITY">
    <vt:lpwstr>י-ם</vt:lpwstr>
  </property>
  <property fmtid="{D5CDD505-2E9C-101B-9397-08002B2CF9AE}" pid="11" name="DATE">
    <vt:lpwstr>20170406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אהרן פרקש</vt:lpwstr>
  </property>
  <property fmtid="{D5CDD505-2E9C-101B-9397-08002B2CF9AE}" pid="15" name="LAWLISTTMP1">
    <vt:lpwstr>70301/144.a:7;fCa1S;040c.a;040i:2;40ja:2;40jb;144.b:3;144.c;051b.b1.1;144</vt:lpwstr>
  </property>
  <property fmtid="{D5CDD505-2E9C-101B-9397-08002B2CF9AE}" pid="16" name="LAWYER">
    <vt:lpwstr>נס בן נתן;טל מושקוביץ'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39071</vt:lpwstr>
  </property>
  <property fmtid="{D5CDD505-2E9C-101B-9397-08002B2CF9AE}" pid="23" name="NEWPARTB">
    <vt:lpwstr>12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390020170406</vt:lpwstr>
  </property>
  <property fmtid="{D5CDD505-2E9C-101B-9397-08002B2CF9AE}" pid="35" name="TYPE_N_DATE">
    <vt:lpwstr>39020170406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