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3"/>
        <w:gridCol w:w="3570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9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3910-02-23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עזרא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7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8"/>
        <w:gridCol w:w="4502"/>
      </w:tblGrid>
      <w:tr>
        <w:trPr>
          <w:trHeight w:val="295" w:hRule="atLeast"/>
        </w:trPr>
        <w:tc>
          <w:tcPr>
            <w:tcW w:w="8501" w:type="dxa"/>
            <w:gridSpan w:val="3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3" w:hRule="atLeast"/>
        </w:trPr>
        <w:tc>
          <w:tcPr>
            <w:tcW w:w="39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63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99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אביב עזרא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bookmarkStart w:id="3" w:name="FirstLawyer"/>
      <w:r>
        <w:rPr>
          <w:sz w:val="26"/>
          <w:sz w:val="26"/>
          <w:szCs w:val="26"/>
          <w:rtl w:val="true"/>
        </w:rPr>
        <w:t>בשם</w:t>
      </w:r>
      <w:bookmarkEnd w:id="3"/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מארון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50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55" w:hRule="atLeast"/>
        </w:trPr>
        <w:tc>
          <w:tcPr>
            <w:tcW w:w="8501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הורשע על פי הודאתו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במסגרת הסדר טיעון שלא כלל הסכמה אודות העונש </w:t>
      </w:r>
      <w:r>
        <w:rPr>
          <w:rFonts w:ascii="Arial" w:hAnsi="Arial" w:cs="Arial"/>
          <w:sz w:val="26"/>
          <w:sz w:val="26"/>
          <w:szCs w:val="26"/>
          <w:rtl w:val="true"/>
        </w:rPr>
        <w:t>בעבירת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הובלה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ונשיאה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r>
        <w:rPr>
          <w:rFonts w:ascii="Arial" w:hAnsi="Arial" w:cs="Arial"/>
          <w:sz w:val="26"/>
          <w:sz w:val="26"/>
          <w:szCs w:val="26"/>
          <w:rtl w:val="true"/>
        </w:rPr>
        <w:t>סיפא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hyperlink r:id="rId6"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r>
        <w:rPr>
          <w:rFonts w:ascii="Arial" w:hAnsi="Arial" w:cs="Arial"/>
          <w:sz w:val="26"/>
          <w:sz w:val="26"/>
          <w:szCs w:val="26"/>
          <w:rtl w:val="true"/>
        </w:rPr>
        <w:t>סיפא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bookmarkStart w:id="9" w:name="ABSTRACT_END"/>
      <w:bookmarkEnd w:id="9"/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Arial" w:ascii="Arial" w:hAnsi="Arial"/>
          <w:sz w:val="26"/>
          <w:szCs w:val="26"/>
          <w:rtl w:val="true"/>
        </w:rPr>
        <w:t>")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האמור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בכתב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האישום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29.1.23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הגיע הנאשם לתחנת משטרת זבולון בעקבות זימונו ל</w:t>
      </w:r>
      <w:r>
        <w:rPr>
          <w:rFonts w:ascii="Arial" w:hAnsi="Arial" w:cs="Arial"/>
          <w:sz w:val="26"/>
          <w:sz w:val="26"/>
          <w:szCs w:val="26"/>
          <w:rtl w:val="true"/>
        </w:rPr>
        <w:t>מתן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התבקש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להמתין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מחוץ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למשרדו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החוקר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הממוקם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בסמוך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השירותים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בתחנה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נכנס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לשירותים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שוטר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מדים כשהוא נושא אקדח משטרתי מסוג גלוק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 טעון במחסנית עם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השוטר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הניח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האקדח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המדף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הממוקם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בשירותים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יצא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ושכח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שיצא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במקביל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לכך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נכנס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לשירותים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הבחין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באקדח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ונטל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חזר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למשרדו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החוקר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לקח את תיקו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הכניס את האקדח לתיק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ויצא מהתחנה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 הנאשם נכנס לבניין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ממקום התחנה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הכניס את האקדח למעטפה והסליק את המעטפה שהכילה את האקדח בארון שבבניין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 חזר הנאשם לחדר החקירות ולאחר סיום חקירתו החל לצעוד לכיוון היציאה מהתחנה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עוכב על ידי שוטרים שהיו במקום שחשדו שהוא גנב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הוביל הנאשם את השוטרים למקום המחבוא של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שמעשי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הנאשם פגע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בביטחון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וביתר שאת כיוון שמדובר בנשק טעון עם מחסנית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מוכן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לשימוש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נטען לפגיעה חמורה עוד יותר כאשר הנאשם </w:t>
      </w:r>
      <w:r>
        <w:rPr>
          <w:rFonts w:ascii="Arial" w:hAnsi="Arial" w:cs="Arial"/>
          <w:sz w:val="26"/>
          <w:sz w:val="26"/>
          <w:szCs w:val="26"/>
          <w:rtl w:val="true"/>
        </w:rPr>
        <w:t>לקח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את האקדח והביא אותו לבניין </w:t>
      </w:r>
      <w:r>
        <w:rPr>
          <w:rFonts w:ascii="Arial" w:hAnsi="Arial" w:cs="Arial"/>
          <w:sz w:val="26"/>
          <w:sz w:val="26"/>
          <w:szCs w:val="26"/>
          <w:rtl w:val="true"/>
        </w:rPr>
        <w:t>סמוך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מחוץ לתחנה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אחד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יכל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למצוא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שהאירוע התחיל באופן לא מתוכנן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בהמשך הנאשם נקט צעדים המצביעים על תכנון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צפוי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יתרחש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נזק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חמור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כיוון שמדובר בנשק לא חוקי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בידיו של הנאשם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ונשק תקני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</w:t>
      </w:r>
      <w:r>
        <w:rPr>
          <w:rFonts w:ascii="Arial" w:hAnsi="Arial" w:cs="Arial"/>
          <w:sz w:val="26"/>
          <w:sz w:val="26"/>
          <w:szCs w:val="26"/>
          <w:rtl w:val="true"/>
        </w:rPr>
        <w:t>המקרה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מצביע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חומרה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ותעוזה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מיוחדת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דרושות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ליטול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מתחנת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משטרה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להסתובב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ולהחביא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צוין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התנדב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להסגיר את הנשק והודה בנטילתו רק שלא הייתה לו ברירה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יכל להימנע בקלות מביצוע </w:t>
      </w:r>
      <w:r>
        <w:rPr>
          <w:rFonts w:ascii="Arial" w:hAnsi="Arial" w:cs="Arial"/>
          <w:sz w:val="26"/>
          <w:sz w:val="26"/>
          <w:szCs w:val="26"/>
          <w:rtl w:val="true"/>
        </w:rPr>
        <w:t>העבירה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לעשות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להודיע על הימצאות הנשק בשירותים שהרי הוא כבר נמצא בתחנת המשטרה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הפרקליט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הפנה להנחיית פרקליט המדינה שמצדדת במתחם של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שנות מאסר וטען לעונש מינימום של </w:t>
      </w:r>
      <w:r>
        <w:rPr>
          <w:rFonts w:ascii="Arial" w:hAnsi="Arial" w:cs="Arial"/>
          <w:sz w:val="26"/>
          <w:sz w:val="26"/>
          <w:szCs w:val="26"/>
          <w:rtl w:val="true"/>
        </w:rPr>
        <w:t>שנתיים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וחצי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תיקון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הפנה לפסיקה שלטענתו מצביעה על מגמת החמרה בעבירות נשק וטען של על פיה דין נשיאה והובלה חד פעמית העונש הראוי עומד על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שהתקבל תסקיר שלילי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בסופו של דבר נתבקש לקבוע מתחם ענישה שבין </w:t>
      </w:r>
      <w:r>
        <w:rPr>
          <w:rFonts w:cs="Arial" w:ascii="Arial" w:hAnsi="Arial"/>
          <w:sz w:val="26"/>
          <w:szCs w:val="26"/>
        </w:rPr>
        <w:t>2.5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4.5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כשבתוך המתחם יש להטיל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המדינה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הפנתה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לפסיקה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הבאה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5602/22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14.9.22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דובר במשיב שהורשע על פי הודאתו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עבירות נשק של נשיאה שלא כדין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הפרעה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לשוטר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במילוי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תפקידו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וכניסה ושהייה בישראל שלא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בנשיאת אקדח עם מחסנית וכדורים תואמים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להימלט מהשוטרים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המשפט המחוזי </w:t>
      </w:r>
      <w:r>
        <w:rPr>
          <w:rFonts w:ascii="Arial" w:hAnsi="Arial" w:cs="Arial"/>
          <w:sz w:val="26"/>
          <w:sz w:val="26"/>
          <w:szCs w:val="26"/>
          <w:rtl w:val="true"/>
        </w:rPr>
        <w:t>נפסק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שיש לקבוע מתחם </w:t>
      </w:r>
      <w:r>
        <w:rPr>
          <w:rFonts w:ascii="Arial" w:hAnsi="Arial" w:cs="Arial"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הנע </w:t>
      </w:r>
      <w:r>
        <w:rPr>
          <w:rFonts w:ascii="Arial" w:hAnsi="Arial" w:cs="Arial"/>
          <w:sz w:val="26"/>
          <w:sz w:val="26"/>
          <w:szCs w:val="26"/>
          <w:rtl w:val="true"/>
        </w:rPr>
        <w:t>בין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</w:t>
      </w:r>
      <w:r>
        <w:rPr>
          <w:rFonts w:ascii="Arial" w:hAnsi="Arial" w:cs="Arial"/>
          <w:sz w:val="26"/>
          <w:sz w:val="26"/>
          <w:szCs w:val="26"/>
          <w:rtl w:val="true"/>
        </w:rPr>
        <w:t>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שבגין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נשיאה בלתי חוקית של נשק חם במרחב הציבורי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לקבוע לנאשם בגיר </w:t>
      </w:r>
      <w:r>
        <w:rPr>
          <w:rFonts w:ascii="Arial" w:hAnsi="Arial" w:cs="Arial"/>
          <w:sz w:val="26"/>
          <w:sz w:val="26"/>
          <w:szCs w:val="26"/>
          <w:rtl w:val="true"/>
        </w:rPr>
        <w:t>עונש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ובאין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נסיבות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מיוחדות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לקולא או לחומרה </w:t>
      </w:r>
      <w:r>
        <w:rPr>
          <w:rFonts w:ascii="Arial" w:hAnsi="Arial" w:cs="Arial"/>
          <w:sz w:val="26"/>
          <w:sz w:val="26"/>
          <w:szCs w:val="26"/>
          <w:rtl w:val="true"/>
        </w:rPr>
        <w:t>יהא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זה סביר שבית המשפט יטיל על 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ערעור המדינה התקבל והעונש הוחמר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שמוצה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6985-07-22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בוהדנה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3.4.23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בגין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והובלה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</w:t>
      </w:r>
      <w:r>
        <w:rPr>
          <w:rFonts w:ascii="Arial" w:hAnsi="Arial" w:cs="Arial"/>
          <w:sz w:val="26"/>
          <w:sz w:val="26"/>
          <w:szCs w:val="26"/>
          <w:rtl w:val="true"/>
        </w:rPr>
        <w:t>עבירת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החזקת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מסוכן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לצריכה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עצמית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עונש הולם הנע בין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30-48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באותו מקרה נסע הנאשם ברכב כשהוא יושב במושב ליד הנהג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החזיק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נשא והוביל אקדח חצי אוטומטי עם מחסנית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bookmarkStart w:id="10" w:name="casename_body"/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הגיש ערעור על חומרת העונש שנדון במסגרת </w:t>
      </w:r>
      <w:hyperlink r:id="rId10">
        <w:bookmarkEnd w:id="10"/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3851/23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לאחר שמיעת טיעוני הצדדים והשמעת עמדת בית המשפט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העליון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חזר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מערעורו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4077/22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28.7.22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פרשה של </w:t>
      </w:r>
      <w:r>
        <w:rPr>
          <w:rFonts w:ascii="Arial" w:hAnsi="Arial" w:cs="Arial"/>
          <w:sz w:val="26"/>
          <w:sz w:val="26"/>
          <w:szCs w:val="26"/>
          <w:rtl w:val="true"/>
        </w:rPr>
        <w:t>סחר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בכלי נשק הוטלו על המערערים מאסרים של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בגין הרשעה בשתי עבירות של סחר בנשק ללא ניכוי ימי מעצר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שתי עבירות של סחר בנשק ושתי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 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הובלה ונשיאה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בגין עבירה אחת של סחר בנשק ועבירה אחת של 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הובלה ונשיאה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בנשק</w:t>
      </w:r>
      <w:r>
        <w:rPr>
          <w:rFonts w:ascii="Arial" w:hAnsi="Arial" w:cs="Arial"/>
          <w:sz w:val="26"/>
          <w:sz w:val="26"/>
          <w:szCs w:val="26"/>
          <w:rtl w:val="true"/>
        </w:rPr>
        <w:t>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מסוג אקדח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תת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מקלע מאולתר מסוג </w:t>
      </w:r>
      <w:r>
        <w:rPr>
          <w:rFonts w:cs="Arial" w:ascii="Arial" w:hAnsi="Arial"/>
          <w:sz w:val="20"/>
          <w:szCs w:val="20"/>
        </w:rPr>
        <w:t>M16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ומחסניות תואמות לכל אחד מכלי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הוחמרו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העונשים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אצל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חלק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מהנאשמים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חלק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חלף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טענות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תקופה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מבוטלת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במעצר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באיזוק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אלקטרוני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למעצרו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מחדש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ושתקופה זו קשה כמו מעצר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לנסיבות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קשות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במהלך התקופה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יכל לפרנס את 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הסכימה שיש להחמיר בעבירות נשק בעקבות 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</w:t>
      </w:r>
      <w:r>
        <w:rPr>
          <w:rFonts w:ascii="Arial" w:hAnsi="Arial" w:cs="Arial"/>
          <w:sz w:val="26"/>
          <w:sz w:val="26"/>
          <w:szCs w:val="26"/>
          <w:rtl w:val="true"/>
        </w:rPr>
        <w:t>סברה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שהמקרה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הנדון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אינו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אחד המקרים שאליו התכוון המחוקק בקביעת רף ענישה מינימלי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מזדמנת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והודגש שלא היה שימוש 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הודגש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פלילי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ושהעבירה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בוצעה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תכנון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מקדים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שהאירוע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כולו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נגמר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נזק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כיוון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שהאקדח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נתפס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ועוד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שהנשיאה הייתה למרחק קצר של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בלבד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הסנגורית טענה שבנסיבות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מדובר בתיק נשק רגיל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דפוסים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עבריינים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מושרשים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אלא שיש לו בעיה בשיקול הדעת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הזה הפנתה לתסקיר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שהנסיבות האישיות של המקרים אליהם הפנתה המדינה חמורות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 בעניין בוהדנה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לטענת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הסנגורית </w:t>
      </w:r>
      <w:r>
        <w:rPr>
          <w:rFonts w:ascii="Arial" w:hAnsi="Arial" w:cs="Arial"/>
          <w:sz w:val="26"/>
          <w:sz w:val="26"/>
          <w:szCs w:val="26"/>
          <w:rtl w:val="true"/>
        </w:rPr>
        <w:t>מתחם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צריך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לנוע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יש להטיל עונש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אוזכרה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פסיקה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9702/16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סאמי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אבו אלולאיה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13.9.17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במסגרת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טיעון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נשא 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מחסניות ריקות </w:t>
      </w:r>
      <w:r>
        <w:rPr>
          <w:rFonts w:ascii="Arial" w:hAnsi="Arial" w:cs="Arial"/>
          <w:sz w:val="26"/>
          <w:sz w:val="26"/>
          <w:szCs w:val="26"/>
          <w:rtl w:val="true"/>
        </w:rPr>
        <w:t>וקופסא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 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ותיק שמצא לצד הדרך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בערכאה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הדיונית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39520-12-21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איהאב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קעדאן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21.11.22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הורשע על פי הודאתו בעבירות 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הובלה ונשיאה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כאשר אדם שהיה עמו שהחזיק את האקדח אף ביצע ירי לעבר רכב 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לאחר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מכן הנאשם קיבל לידיו את האקדח ונסע מרחק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עליו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29529-07-20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בכריה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4.2.21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דובר בנאשם שהורשע על פי הודאתו במסגרת הסדר בביצוע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עבירות נשק של נשיאה והובלה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אירוע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הוביל יחד עם אדם אחר אקדח חצי אוטומטי עם שתי מחסניות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נעצר על ידי המשטרה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מתחם של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</w:t>
      </w:r>
      <w:r>
        <w:rPr>
          <w:rFonts w:ascii="Arial" w:hAnsi="Arial" w:cs="Arial"/>
          <w:sz w:val="26"/>
          <w:sz w:val="26"/>
          <w:szCs w:val="26"/>
          <w:rtl w:val="true"/>
        </w:rPr>
        <w:t>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בשל </w:t>
      </w:r>
      <w:r>
        <w:rPr>
          <w:rFonts w:ascii="Arial" w:hAnsi="Arial" w:cs="Arial"/>
          <w:sz w:val="26"/>
          <w:sz w:val="26"/>
          <w:szCs w:val="26"/>
          <w:rtl w:val="true"/>
        </w:rPr>
        <w:t>העד</w:t>
      </w:r>
      <w:r>
        <w:rPr>
          <w:rFonts w:ascii="Arial" w:hAnsi="Arial" w:cs="Arial"/>
          <w:sz w:val="26"/>
          <w:sz w:val="26"/>
          <w:szCs w:val="26"/>
          <w:rtl w:val="true"/>
        </w:rPr>
        <w:t>פת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מתווה שיקומי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הוטלו עליו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שלמד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לקח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 חשב מספיק </w:t>
      </w:r>
      <w:r>
        <w:rPr>
          <w:rFonts w:ascii="Arial" w:hAnsi="Arial" w:cs="Arial"/>
          <w:sz w:val="26"/>
          <w:sz w:val="26"/>
          <w:szCs w:val="26"/>
          <w:rtl w:val="true"/>
        </w:rPr>
        <w:t>ואם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מפעיל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שיקול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נוסף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מבצע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מצטער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עליה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בעניינו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 הנאשם נערך תסקיר 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תואר שהוא בן </w:t>
      </w:r>
      <w:r>
        <w:rPr>
          <w:rFonts w:cs="Arial" w:ascii="Arial" w:hAnsi="Arial"/>
          <w:sz w:val="26"/>
          <w:szCs w:val="26"/>
        </w:rPr>
        <w:t>33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בשנית ואב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ילדים בגילאים צעירים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לימוד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וסיים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צבאי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מלא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השנים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בעבודות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שונות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ההליך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טופל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פסיכיאטרית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צוין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שאין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לחובתו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קודמות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ואין לו דפוסים עבריינים מושרשים אלא מצוקות רגשיות ולקות בשיקול הדעת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שולב בקבוצה טיפולית של עצורי 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עם זאת נרשמו מספר הפרות בתנאי מעצרו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בסיכומו של עניין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לאור חוסר יציבותו העריך שירות המבחן כי קיימת רמת סיכון גבוהה להישנות מקרים דומים בעתיד ולא הובאה המלצה טיפולית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היה עצור מיום </w:t>
      </w:r>
      <w:r>
        <w:rPr>
          <w:rFonts w:cs="Arial" w:ascii="Arial" w:hAnsi="Arial"/>
          <w:sz w:val="26"/>
          <w:szCs w:val="26"/>
        </w:rPr>
        <w:t>29.1.23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ליום </w:t>
      </w:r>
      <w:r>
        <w:rPr>
          <w:rFonts w:cs="Arial" w:ascii="Arial" w:hAnsi="Arial"/>
          <w:sz w:val="26"/>
          <w:szCs w:val="26"/>
        </w:rPr>
        <w:t>13.3.23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ושוב מיום </w:t>
      </w:r>
      <w:r>
        <w:rPr>
          <w:rFonts w:cs="Arial" w:ascii="Arial" w:hAnsi="Arial"/>
          <w:sz w:val="26"/>
          <w:szCs w:val="26"/>
        </w:rPr>
        <w:t>15.11.23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הערכים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החברתיים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המוגנים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שנפגעו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הציבור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ובטחונו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בפגיעה יחסית חמורה בערכים המוגנים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באשר לנסיבות </w:t>
      </w:r>
      <w:r>
        <w:rPr>
          <w:rFonts w:ascii="Arial" w:hAnsi="Arial" w:cs="Arial"/>
          <w:sz w:val="26"/>
          <w:sz w:val="26"/>
          <w:szCs w:val="26"/>
          <w:rtl w:val="true"/>
        </w:rPr>
        <w:t>הקשורות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אומנם תחילה לא התקיים תכנון </w:t>
      </w:r>
      <w:r>
        <w:rPr>
          <w:rFonts w:ascii="Arial" w:hAnsi="Arial" w:cs="Arial"/>
          <w:sz w:val="26"/>
          <w:sz w:val="26"/>
          <w:szCs w:val="26"/>
          <w:rtl w:val="true"/>
        </w:rPr>
        <w:t>מוקדם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ומדובר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במקרה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ניצול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הזדמנות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שנקרתה לפתחו של הנאשם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בהמשך נקט הנאשם בצעדים שמראים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</w:t>
      </w:r>
      <w:r>
        <w:rPr>
          <w:rFonts w:ascii="Arial" w:hAnsi="Arial" w:cs="Arial"/>
          <w:sz w:val="26"/>
          <w:sz w:val="26"/>
          <w:szCs w:val="26"/>
          <w:rtl w:val="true"/>
        </w:rPr>
        <w:t>כוונה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פלילית לרבות לקיחת האקדח מתחנת המשטרה והסתרתו במקום סמוי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נטילת הנשק מתחנת המשטרה מלמדת על תעוזה בלתי רגילה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חלקו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היחסי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מלא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היות שמדובר בעבירת נשק צפוי היה להיגרם נזק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הסיבות שהביאו את הנאשם לבצע את העבירה היו פסולות והנאשם יכ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להבין את הפסול במעשיו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המקרה ועל בסיס הפסיקה ה</w:t>
      </w:r>
      <w:r>
        <w:rPr>
          <w:rFonts w:ascii="Arial" w:hAnsi="Arial" w:cs="Arial"/>
          <w:sz w:val="26"/>
          <w:sz w:val="26"/>
          <w:szCs w:val="26"/>
          <w:rtl w:val="true"/>
        </w:rPr>
        <w:t>עדכנית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הענישה צריך לנוע 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–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באשר לפסיקת העונש 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לטובת הנאשם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לזקוף </w:t>
      </w:r>
      <w:r>
        <w:rPr>
          <w:rFonts w:ascii="Arial" w:hAnsi="Arial" w:cs="Arial"/>
          <w:sz w:val="26"/>
          <w:sz w:val="26"/>
          <w:szCs w:val="26"/>
          <w:rtl w:val="true"/>
        </w:rPr>
        <w:t>העדר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פלילי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והעובדה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שניהל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אורח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נורמטיבי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עד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בהודאתו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בסיכומו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עניין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ינוכו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תקופ</w:t>
      </w:r>
      <w:r>
        <w:rPr>
          <w:rFonts w:ascii="Arial" w:hAnsi="Arial" w:cs="Arial"/>
          <w:sz w:val="26"/>
          <w:sz w:val="26"/>
          <w:szCs w:val="26"/>
          <w:rtl w:val="true"/>
        </w:rPr>
        <w:t>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מעצרו מיום </w:t>
      </w:r>
      <w:r>
        <w:rPr>
          <w:rFonts w:cs="Arial" w:ascii="Arial" w:hAnsi="Arial"/>
          <w:sz w:val="26"/>
          <w:szCs w:val="26"/>
        </w:rPr>
        <w:t>29.1.23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ליום </w:t>
      </w:r>
      <w:r>
        <w:rPr>
          <w:rFonts w:cs="Arial" w:ascii="Arial" w:hAnsi="Arial"/>
          <w:sz w:val="26"/>
          <w:szCs w:val="26"/>
        </w:rPr>
        <w:t>13.3.23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ומיום </w:t>
      </w:r>
      <w:r>
        <w:rPr>
          <w:rFonts w:cs="Arial" w:ascii="Arial" w:hAnsi="Arial"/>
          <w:sz w:val="26"/>
          <w:szCs w:val="26"/>
        </w:rPr>
        <w:t>15.11.23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 תנאי לתקופה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שיופעל במידה והנאשם יבצע עבירות נשק או אלימות מסוג פשע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קנס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בסך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2,500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לתשלום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ליום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1.6.2024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הודעה לנאשם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3910-02-23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אביב עזרא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6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883087" TargetMode="External"/><Relationship Id="rId9" Type="http://schemas.openxmlformats.org/officeDocument/2006/relationships/hyperlink" Target="http://www.nevo.co.il/case/28746776" TargetMode="External"/><Relationship Id="rId10" Type="http://schemas.openxmlformats.org/officeDocument/2006/relationships/hyperlink" Target="http://www.nevo.co.il/case/29677445" TargetMode="External"/><Relationship Id="rId11" Type="http://schemas.openxmlformats.org/officeDocument/2006/relationships/hyperlink" Target="http://www.nevo.co.il/case/28697227" TargetMode="External"/><Relationship Id="rId12" Type="http://schemas.openxmlformats.org/officeDocument/2006/relationships/hyperlink" Target="http://www.nevo.co.il/case/21771409" TargetMode="External"/><Relationship Id="rId13" Type="http://schemas.openxmlformats.org/officeDocument/2006/relationships/hyperlink" Target="http://www.nevo.co.il/case/28182766" TargetMode="External"/><Relationship Id="rId14" Type="http://schemas.openxmlformats.org/officeDocument/2006/relationships/hyperlink" Target="http://www.nevo.co.il/case/2684244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2024-01-21T13:09:00Z</dcterms:created>
  <dc:creator> </dc:creator>
  <dc:description/>
  <cp:keywords/>
  <dc:language>en-IL</dc:language>
  <cp:lastModifiedBy>h1</cp:lastModifiedBy>
  <dcterms:modified xsi:type="dcterms:W3CDTF">2024-01-21T13:09:00Z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אביב עזרא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28883087;28746776;29677445;28697227;21771409;28182766;26842441</vt:lpwstr>
  </property>
  <property fmtid="{D5CDD505-2E9C-101B-9397-08002B2CF9AE}" pid="9" name="CITY">
    <vt:lpwstr>חי'</vt:lpwstr>
  </property>
  <property fmtid="{D5CDD505-2E9C-101B-9397-08002B2CF9AE}" pid="10" name="DATE">
    <vt:lpwstr>20240117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</vt:lpwstr>
  </property>
  <property fmtid="{D5CDD505-2E9C-101B-9397-08002B2CF9AE}" pid="15" name="LAWYER">
    <vt:lpwstr>יניב זוהר;סנדי מארון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3910</vt:lpwstr>
  </property>
  <property fmtid="{D5CDD505-2E9C-101B-9397-08002B2CF9AE}" pid="22" name="NEWPARTB">
    <vt:lpwstr>02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390020240117</vt:lpwstr>
  </property>
  <property fmtid="{D5CDD505-2E9C-101B-9397-08002B2CF9AE}" pid="34" name="TYPE_N_DATE">
    <vt:lpwstr>39020240117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