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39183-11-13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8"/>
        <w:gridCol w:w="83"/>
        <w:gridCol w:w="2797"/>
        <w:gridCol w:w="5922"/>
      </w:tblGrid>
      <w:tr>
        <w:trPr/>
        <w:tc>
          <w:tcPr>
            <w:tcW w:w="129" w:type="dxa"/>
            <w:gridSpan w:val="3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8"/>
                <w:szCs w:val="8"/>
              </w:rPr>
            </w:pPr>
            <w:r>
              <w:rPr>
                <w:rFonts w:cs="Arial" w:ascii="Arial" w:hAnsi="Arial"/>
                <w:b/>
                <w:bCs/>
                <w:sz w:val="8"/>
                <w:szCs w:val="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308073675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2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',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20/3/13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שיהאב</w:t>
      </w:r>
      <w:r>
        <w:rPr>
          <w:rtl w:val="true"/>
        </w:rPr>
        <w:t xml:space="preserve">),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עבדו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tl w:val="true"/>
        </w:rPr>
        <w:t xml:space="preserve">)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ביצורית</w:t>
      </w:r>
      <w:r>
        <w:rPr>
          <w:rtl w:val="true"/>
        </w:rPr>
        <w:t xml:space="preserve">" -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tl w:val="true"/>
        </w:rPr>
        <w:t>-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המועצה</w:t>
      </w:r>
      <w:r>
        <w:rPr>
          <w:rtl w:val="true"/>
        </w:rPr>
        <w:t xml:space="preserve">), </w:t>
      </w:r>
      <w:r>
        <w:rPr>
          <w:rtl w:val="true"/>
        </w:rPr>
        <w:t>ומשרדיה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בקסדות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ובקטנוע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מהחבורה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השניים</w:t>
      </w:r>
      <w:r>
        <w:rPr>
          <w:rtl w:val="true"/>
        </w:rPr>
        <w:t xml:space="preserve">),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tl w:val="true"/>
        </w:rPr>
        <w:t xml:space="preserve">"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כשקסדות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ופניהם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אייפון</w:t>
      </w:r>
      <w:r>
        <w:rPr>
          <w:rFonts w:cs="Times New Roman"/>
          <w:rtl w:val="true"/>
        </w:rPr>
        <w:t xml:space="preserve"> </w:t>
      </w:r>
      <w:r>
        <w:rPr/>
        <w:t>s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האייפון</w:t>
      </w:r>
      <w:r>
        <w:rPr>
          <w:rtl w:val="true"/>
        </w:rPr>
        <w:t xml:space="preserve">)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והבית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והאייפון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הנגנבים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 </w:t>
      </w:r>
      <w:r>
        <w:rPr>
          <w:rtl w:val="true"/>
        </w:rPr>
        <w:t>ודינם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3918</w:t>
      </w:r>
      <w:r>
        <w:rPr/>
        <w:t>4</w:t>
      </w:r>
      <w:r>
        <w:rPr/>
        <w:t>-11-13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5/11/14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- </w:t>
      </w:r>
      <w:r>
        <w:rPr/>
        <w:t>39184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18/2/15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39234-11-13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9/12/14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נתנאל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- </w:t>
      </w:r>
      <w:r>
        <w:rPr/>
        <w:t>55005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29/1/15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וחודשיים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',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'.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15/7/14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- </w:t>
      </w:r>
      <w:r>
        <w:rPr/>
        <w:t>05</w:t>
      </w:r>
      <w:r>
        <w:rPr>
          <w:rtl w:val="true"/>
        </w:rPr>
        <w:t xml:space="preserve">- </w:t>
      </w:r>
      <w:r>
        <w:rPr/>
        <w:t>41671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מתעתד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נעמן</w:t>
      </w:r>
      <w:r>
        <w:rPr>
          <w:rtl w:val="true"/>
        </w:rPr>
        <w:t xml:space="preserve">"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tl w:val="true"/>
        </w:rPr>
        <w:t xml:space="preserve">,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שיקפה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שדרכה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שטעה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השתפר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והשתקם</w:t>
      </w:r>
      <w:r>
        <w:rPr>
          <w:rtl w:val="true"/>
        </w:rPr>
        <w:t>. "</w:t>
      </w:r>
      <w:r>
        <w:rPr>
          <w:b/>
          <w:b/>
          <w:bCs/>
          <w:rtl w:val="true"/>
        </w:rPr>
        <w:t>התהפך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התחתן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5-23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בעומדו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כשוד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ובביצועו</w:t>
      </w:r>
      <w:r>
        <w:rPr>
          <w:rtl w:val="true"/>
        </w:rPr>
        <w:t xml:space="preserve">,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ובגופו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 xml:space="preserve">,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ובקניינו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5-8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tl w:val="true"/>
        </w:rPr>
        <w:t xml:space="preserve">, </w:t>
      </w:r>
      <w:r>
        <w:rPr>
          <w:rtl w:val="true"/>
        </w:rPr>
        <w:t>משהורשעו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),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ושיהאב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בעומדו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',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הובא</w:t>
      </w:r>
      <w:r>
        <w:rPr>
          <w:rtl w:val="true"/>
        </w:rPr>
        <w:t xml:space="preserve">"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highlight w:val="yellow"/>
        </w:rPr>
      </w:pPr>
      <w:r>
        <w:rPr>
          <w:rFonts w:cs="Times New Roman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לבדווי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"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משבוצעה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נתגבשה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"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, </w:t>
      </w:r>
      <w:r>
        <w:rPr>
          <w:rtl w:val="true"/>
        </w:rPr>
        <w:t>ולהעצים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tl w:val="true"/>
        </w:rPr>
        <w:t xml:space="preserve">,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ascii="Arial" w:hAnsi="Arial" w:cs="Arial"/>
          <w:rtl w:val="true"/>
        </w:rPr>
        <w:t>שיקולי גמול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מניעה והרתעה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 ביצוע העבירות וחומרתן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ותדירות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החברה וההשלכות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והפחד שעבירות אלה נוטעות בלבו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מושפעת הענישה מהנסיבות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עמדתם לגבי העבירות שביצעו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שיקום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בייניש</w:t>
      </w:r>
      <w:r>
        <w:rPr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ראו גם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12/12/05</w:t>
      </w:r>
      <w:r>
        <w:rPr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344/81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סגל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>).</w:t>
      </w:r>
      <w:r>
        <w:rPr>
          <w:rtl w:val="true"/>
        </w:rPr>
        <w:t xml:space="preserve">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>". (</w:t>
      </w:r>
      <w:r>
        <w:rPr>
          <w:rFonts w:ascii="Arial" w:hAnsi="Arial" w:cs="Arial"/>
          <w:rtl w:val="true"/>
        </w:rPr>
        <w:t>ראו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פלונית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18/4/12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וכן 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156/80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כוכבי בנימין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22/7/14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2626/13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6/1/15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6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חומרת העבירה והערכים החברתיים שנפגעו בעטייה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.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ובקטנוע</w:t>
      </w:r>
      <w:r>
        <w:rPr>
          <w:rtl w:val="true"/>
        </w:rPr>
        <w:t xml:space="preserve">, </w:t>
      </w:r>
      <w:r>
        <w:rPr>
          <w:rtl w:val="true"/>
        </w:rPr>
        <w:t>מצויידת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),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אייפון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שללם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tl w:val="true"/>
        </w:rPr>
        <w:t xml:space="preserve">, </w:t>
      </w:r>
      <w:r>
        <w:rPr>
          <w:rtl w:val="true"/>
        </w:rPr>
        <w:t>והשאירו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hd w:fill="FFFFFF" w:val="clear"/>
        <w:spacing w:lineRule="auto" w:line="360"/>
        <w:ind w:firstLine="720" w:end="0"/>
        <w:jc w:val="both"/>
        <w:rPr>
          <w:bCs/>
          <w:sz w:val="20"/>
          <w:lang w:eastAsia="he-IL"/>
        </w:rPr>
      </w:pPr>
      <w:r>
        <w:rPr>
          <w:bCs/>
          <w:rtl w:val="true"/>
          <w:lang w:eastAsia="he-IL"/>
        </w:rPr>
        <w:t>ב</w:t>
      </w:r>
      <w:r>
        <w:rPr>
          <w:bCs/>
          <w:rtl w:val="true"/>
          <w:lang w:eastAsia="he-IL"/>
        </w:rPr>
        <w:t>.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לגישה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המחמירה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שיש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לנקוט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כלפי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מבצעי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עבירות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שוד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נאמר</w:t>
      </w:r>
      <w:r>
        <w:rPr>
          <w:b/>
          <w:rtl w:val="true"/>
          <w:lang w:eastAsia="he-IL"/>
        </w:rPr>
        <w:t xml:space="preserve">: </w:t>
      </w:r>
    </w:p>
    <w:p>
      <w:pPr>
        <w:pStyle w:val="Normal"/>
        <w:shd w:fill="FFFFFF" w:val="clear"/>
        <w:ind w:start="1440" w:end="0"/>
        <w:jc w:val="both"/>
        <w:rPr>
          <w:bCs/>
          <w:sz w:val="20"/>
          <w:lang w:eastAsia="he-IL"/>
        </w:rPr>
      </w:pPr>
      <w:r>
        <w:rPr>
          <w:bCs/>
          <w:sz w:val="20"/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והטעמים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ובגמול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בהרחקת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מתאימה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הנענשות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</w:t>
      </w:r>
      <w:r>
        <w:rPr>
          <w:rFonts w:cs="Miriam"/>
          <w:rtl w:val="true"/>
        </w:rPr>
        <w:t>...</w:t>
      </w:r>
      <w:r>
        <w:rPr>
          <w:rtl w:val="true"/>
        </w:rPr>
        <w:t>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פיראס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7/7/09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shd w:fill="FFFFFF" w:val="clear"/>
        <w:spacing w:lineRule="auto" w:line="360"/>
        <w:ind w:firstLine="720" w:end="0"/>
        <w:jc w:val="both"/>
        <w:rPr/>
      </w:pP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Normal"/>
        <w:shd w:fill="FFFFFF" w:val="clear"/>
        <w:spacing w:lineRule="auto" w:line="360" w:before="120" w:after="240"/>
        <w:ind w:start="144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קבע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מראש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מצריכות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ואפקטיבית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שייקלט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501/93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בורוחוב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 xml:space="preserve">); </w:t>
      </w:r>
      <w:hyperlink r:id="rId23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2566/04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>' (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Miriam"/>
          <w:rtl w:val="true"/>
        </w:rPr>
        <w:t>))</w:t>
      </w:r>
      <w:r>
        <w:rPr>
          <w:rtl w:val="true"/>
        </w:rPr>
        <w:t>".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אבוטבול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2/8/06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מיישריף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21/6/06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26/10/14</w:t>
      </w:r>
      <w:r>
        <w:rPr>
          <w:rtl w:val="true"/>
        </w:rPr>
        <w:t xml:space="preserve">)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זילברטל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cs="Miriam"/>
        </w:rPr>
      </w:pPr>
      <w:r>
        <w:rPr>
          <w:rFonts w:cs="Miriam" w:ascii="Century" w:hAnsi="Century"/>
          <w:spacing w:val="10"/>
          <w:rtl w:val="true"/>
        </w:rPr>
        <w:t xml:space="preserve">"... </w:t>
      </w:r>
      <w:r>
        <w:rPr>
          <w:rFonts w:ascii="Century" w:hAnsi="Century" w:cs="Miriam"/>
          <w:spacing w:val="10"/>
          <w:rtl w:val="true"/>
        </w:rPr>
        <w:t>הפסיקה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ייחסה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חומרה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יתרה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למעשי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שוד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המבוצעים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באמצעות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כלי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נשק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באור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יום</w:t>
      </w:r>
      <w:r>
        <w:rPr>
          <w:rFonts w:cs="Miriam" w:ascii="Century" w:hAnsi="Century"/>
          <w:spacing w:val="10"/>
          <w:rtl w:val="true"/>
        </w:rPr>
        <w:t xml:space="preserve">, </w:t>
      </w:r>
      <w:r>
        <w:rPr>
          <w:rFonts w:ascii="Century" w:hAnsi="Century" w:cs="Miriam"/>
          <w:spacing w:val="10"/>
          <w:rtl w:val="true"/>
        </w:rPr>
        <w:t>במקומות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הומי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אדם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תוך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סיכון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העוברים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ושבים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כמו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במקרה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שלפנינו</w:t>
      </w:r>
      <w:r>
        <w:rPr>
          <w:rFonts w:cs="Miriam" w:ascii="Century" w:hAnsi="Century"/>
          <w:spacing w:val="10"/>
          <w:rtl w:val="true"/>
        </w:rPr>
        <w:t xml:space="preserve">. </w:t>
      </w:r>
      <w:r>
        <w:rPr>
          <w:rFonts w:ascii="Century" w:hAnsi="Century" w:cs="Miriam"/>
          <w:spacing w:val="10"/>
          <w:rtl w:val="true"/>
        </w:rPr>
        <w:t>באחת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הפרשות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cs="Miriam" w:ascii="Century" w:hAnsi="Century"/>
          <w:spacing w:val="10"/>
          <w:rtl w:val="true"/>
        </w:rPr>
        <w:t>(</w:t>
      </w:r>
      <w:r>
        <w:rPr>
          <w:rFonts w:ascii="Century" w:hAnsi="Century" w:cs="Miriam"/>
          <w:spacing w:val="10"/>
          <w:rtl w:val="true"/>
        </w:rPr>
        <w:t>בעניין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שוד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סניף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דואר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–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שם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הנסיבות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היו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פחות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חמורות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מענייננו</w:t>
      </w:r>
      <w:r>
        <w:rPr>
          <w:rFonts w:cs="Miriam" w:ascii="Century" w:hAnsi="Century"/>
          <w:spacing w:val="10"/>
          <w:rtl w:val="true"/>
        </w:rPr>
        <w:t xml:space="preserve">) </w:t>
      </w:r>
      <w:r>
        <w:rPr>
          <w:rFonts w:ascii="Century" w:hAnsi="Century" w:cs="Miriam"/>
          <w:spacing w:val="10"/>
          <w:rtl w:val="true"/>
        </w:rPr>
        <w:t>אמר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השופט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שוהם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את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הדברים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הבאים</w:t>
      </w:r>
      <w:r>
        <w:rPr>
          <w:rFonts w:cs="Miriam" w:ascii="Century" w:hAnsi="Century"/>
          <w:spacing w:val="10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cs="Miriam"/>
        </w:rPr>
      </w:pPr>
      <w:r>
        <w:rPr>
          <w:rFonts w:cs="Miriam" w:ascii="Arial TUR;Arial Unicode MS" w:hAnsi="Arial TUR;Arial Unicode MS"/>
          <w:spacing w:val="10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המערער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הורשע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בביצוע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עבירה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חמורה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שעניינה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שוד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סניף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דואר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תוך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שימוש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באקדח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דמה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הנחזה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להיות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אקדח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אמיתי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כאשר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הוא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רעול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פנים</w:t>
      </w:r>
      <w:r>
        <w:rPr>
          <w:rFonts w:cs="Miriam" w:ascii="Arial TUR;Arial Unicode MS" w:hAnsi="Arial TUR;Arial Unicode MS"/>
          <w:spacing w:val="10"/>
          <w:rtl w:val="true"/>
        </w:rPr>
        <w:t xml:space="preserve">. </w:t>
      </w:r>
      <w:r>
        <w:rPr>
          <w:rFonts w:ascii="Arial TUR;Arial Unicode MS" w:hAnsi="Arial TUR;Arial Unicode MS" w:cs="Miriam"/>
          <w:spacing w:val="10"/>
          <w:rtl w:val="true"/>
        </w:rPr>
        <w:t>נקל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לשער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החרדה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והאימה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שאחזו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בעובדי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סניף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הדואר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שעה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שאקדח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מכוון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לעברם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על</w:t>
      </w:r>
      <w:r>
        <w:rPr>
          <w:rFonts w:cs="Miriam" w:ascii="Arial TUR;Arial Unicode MS" w:hAnsi="Arial TUR;Arial Unicode MS"/>
          <w:spacing w:val="10"/>
          <w:rtl w:val="true"/>
        </w:rPr>
        <w:t>-</w:t>
      </w:r>
      <w:r>
        <w:rPr>
          <w:rFonts w:ascii="Arial TUR;Arial Unicode MS" w:hAnsi="Arial TUR;Arial Unicode MS" w:cs="Miriam"/>
          <w:spacing w:val="10"/>
          <w:rtl w:val="true"/>
        </w:rPr>
        <w:t>ידי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שודד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רעול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פנים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הדורש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במפגיע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הכספים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המצויים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ברשותם</w:t>
      </w:r>
      <w:r>
        <w:rPr>
          <w:rFonts w:cs="Miriam" w:ascii="Arial TUR;Arial Unicode MS" w:hAnsi="Arial TUR;Arial Unicode MS"/>
          <w:spacing w:val="10"/>
          <w:rtl w:val="true"/>
        </w:rPr>
        <w:t xml:space="preserve">. </w:t>
      </w:r>
      <w:r>
        <w:rPr>
          <w:rFonts w:ascii="Arial TUR;Arial Unicode MS" w:hAnsi="Arial TUR;Arial Unicode MS" w:cs="Miriam"/>
          <w:spacing w:val="10"/>
          <w:rtl w:val="true"/>
        </w:rPr>
        <w:t>בנסיבות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מעין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אלה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יש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ליתן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משקל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בכורה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לשיקולי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הגמול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וההרתעה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שכן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אנו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מצווים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להגן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קורבנות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המהווים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טרף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לשודדים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חסרי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מצפון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ומורא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מהחוק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כגון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נהגי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מוניות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פקידי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דואר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ועובדי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בנקים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המשמשים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יעד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קוסם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ואטרקטיבי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לעבריינים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המבקשים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לזכות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בכסף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וזמין</w:t>
      </w:r>
      <w:r>
        <w:rPr>
          <w:rFonts w:cs="Miriam" w:ascii="Arial TUR;Arial Unicode MS" w:hAnsi="Arial TUR;Arial Unicode MS"/>
          <w:spacing w:val="10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tl w:val="true"/>
        </w:rPr>
        <w:t xml:space="preserve">,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וקסדות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מכיאל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השודדים</w:t>
      </w:r>
      <w:r>
        <w:rPr>
          <w:rtl w:val="true"/>
        </w:rPr>
        <w:t xml:space="preserve">, </w:t>
      </w:r>
      <w:r>
        <w:rPr>
          <w:rtl w:val="true"/>
        </w:rPr>
        <w:t>הצטיידותם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תחכומם</w:t>
      </w:r>
      <w:r>
        <w:rPr>
          <w:rtl w:val="true"/>
        </w:rPr>
        <w:t xml:space="preserve">, </w:t>
      </w:r>
      <w:r>
        <w:rPr>
          <w:rtl w:val="true"/>
        </w:rPr>
        <w:t>תעוזתם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ובריוניותם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) </w:t>
      </w:r>
      <w:r>
        <w:rPr>
          <w:rtl w:val="true"/>
        </w:rPr>
        <w:t>וקניינו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וחירותו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27955-05-10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גורביץ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13/5/13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>שוחט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ואבניאלי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כשקסדות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ופניהם</w:t>
      </w:r>
      <w:r>
        <w:rPr>
          <w:rtl w:val="true"/>
        </w:rPr>
        <w:t xml:space="preserve">,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hd w:fill="FFFFFF" w:val="clear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Arial TUR;Arial Unicode MS" w:hAnsi="Arial TUR;Arial Unicode MS"/>
          <w:spacing w:val="10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לפני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סיום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לא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המותר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להזכיר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מושכלות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יסוד</w:t>
      </w:r>
      <w:r>
        <w:rPr>
          <w:rFonts w:cs="Miriam" w:ascii="Arial TUR;Arial Unicode MS" w:hAnsi="Arial TUR;Arial Unicode MS"/>
          <w:spacing w:val="10"/>
          <w:rtl w:val="true"/>
        </w:rPr>
        <w:t xml:space="preserve">. </w:t>
      </w:r>
      <w:r>
        <w:rPr>
          <w:rFonts w:ascii="Arial TUR;Arial Unicode MS" w:hAnsi="Arial TUR;Arial Unicode MS" w:cs="Miriam"/>
          <w:spacing w:val="10"/>
          <w:rtl w:val="true"/>
        </w:rPr>
        <w:t>חומרתה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עבירת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החזקת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הנשק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מקורה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בכך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שעבירה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זאת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אינה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נעשית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לרוב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אלא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כדי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לאפשר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ביצוען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עבירות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אחרות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שמעצם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טבעו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הנשק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כרוכות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באלימות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בהפחדה</w:t>
      </w:r>
      <w:r>
        <w:rPr>
          <w:rFonts w:cs="Miriam" w:ascii="Arial TUR;Arial Unicode MS" w:hAnsi="Arial TUR;Arial Unicode MS"/>
          <w:spacing w:val="10"/>
          <w:rtl w:val="true"/>
        </w:rPr>
        <w:t xml:space="preserve">... </w:t>
      </w:r>
      <w:r>
        <w:rPr>
          <w:rFonts w:ascii="Arial TUR;Arial Unicode MS" w:hAnsi="Arial TUR;Arial Unicode MS" w:cs="Miriam"/>
          <w:spacing w:val="10"/>
          <w:rtl w:val="true"/>
        </w:rPr>
        <w:t>כפי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שציינה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חברתי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הנשיאה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ביניש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המציאות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השוררת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בארץ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המתבטאת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בזמינותו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נשק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חם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ורב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עוצמה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שיש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עמו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פוטנציאל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להסלמת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האלימות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העבריינית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מחייבת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מתן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ביטוי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עונשי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הולם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והחמרה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ברמת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הענישה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(</w:t>
      </w:r>
      <w:r>
        <w:rPr>
          <w:rFonts w:ascii="Arial TUR;Arial Unicode MS" w:hAnsi="Arial TUR;Arial Unicode MS" w:cs="Miriam"/>
          <w:spacing w:val="10"/>
          <w:rtl w:val="true"/>
        </w:rPr>
        <w:t>ראו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</w:t>
      </w:r>
      <w:r>
        <w:rPr>
          <w:rFonts w:cs="Miriam" w:ascii="Arial TUR;Arial Unicode MS" w:hAnsi="Arial TUR;Arial Unicode MS"/>
          <w:spacing w:val="10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פ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</w:rPr>
        <w:t>1332/04</w:t>
      </w:r>
      <w:r>
        <w:rPr>
          <w:rFonts w:cs="Miriam" w:ascii="Arial TUR;Arial Unicode MS" w:hAnsi="Arial TUR;Arial Unicode MS"/>
          <w:spacing w:val="10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פס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סעיף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</w:rPr>
        <w:t>4</w:t>
      </w:r>
      <w:r>
        <w:rPr>
          <w:rFonts w:cs="Miriam" w:ascii="Arial TUR;Arial Unicode MS" w:hAnsi="Arial TUR;Arial Unicode MS"/>
          <w:spacing w:val="10"/>
          <w:rtl w:val="true"/>
        </w:rPr>
        <w:t xml:space="preserve"> (</w:t>
      </w:r>
      <w:r>
        <w:rPr>
          <w:rFonts w:cs="Miriam" w:ascii="Arial TUR;Arial Unicode MS" w:hAnsi="Arial TUR;Arial Unicode MS"/>
          <w:spacing w:val="10"/>
        </w:rPr>
        <w:t>19.4.04</w:t>
      </w:r>
      <w:r>
        <w:rPr>
          <w:rFonts w:cs="Miriam" w:ascii="Arial TUR;Arial Unicode MS" w:hAnsi="Arial TUR;Arial Unicode MS"/>
          <w:spacing w:val="10"/>
          <w:rtl w:val="true"/>
        </w:rPr>
        <w:t xml:space="preserve">)). </w:t>
      </w:r>
      <w:r>
        <w:rPr>
          <w:rFonts w:ascii="Arial TUR;Arial Unicode MS" w:hAnsi="Arial TUR;Arial Unicode MS" w:cs="Miriam"/>
          <w:spacing w:val="10"/>
          <w:rtl w:val="true"/>
        </w:rPr>
        <w:t>יש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לעשות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עוד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בטרם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ייעשה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באקדח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שימוש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קטלני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באמצעות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הרחקת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המחזיק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החברה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לפרק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זמן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והעברת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מסר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מרתיע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באמצעות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עונש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מאסר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ממשי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לריצוי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בפועל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(</w:t>
      </w:r>
      <w:r>
        <w:rPr>
          <w:rFonts w:ascii="Arial TUR;Arial Unicode MS" w:hAnsi="Arial TUR;Arial Unicode MS" w:cs="Miriam"/>
          <w:spacing w:val="10"/>
          <w:rtl w:val="true"/>
        </w:rPr>
        <w:t>ראו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למשל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hyperlink r:id="rId29"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</w:rPr>
          <w:t>3361/08</w:t>
        </w:r>
      </w:hyperlink>
      <w:r>
        <w:rPr>
          <w:rFonts w:cs="Miriam" w:ascii="Arial TUR;Arial Unicode MS" w:hAnsi="Arial TUR;Arial Unicode MS"/>
          <w:spacing w:val="10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(</w:t>
      </w:r>
      <w:r>
        <w:rPr>
          <w:rFonts w:cs="Miriam" w:ascii="Arial TUR;Arial Unicode MS" w:hAnsi="Arial TUR;Arial Unicode MS"/>
          <w:spacing w:val="10"/>
        </w:rPr>
        <w:t>27.7.08</w:t>
      </w:r>
      <w:r>
        <w:rPr>
          <w:rFonts w:cs="Miriam" w:ascii="Arial TUR;Arial Unicode MS" w:hAnsi="Arial TUR;Arial Unicode MS"/>
          <w:spacing w:val="10"/>
          <w:rtl w:val="true"/>
        </w:rPr>
        <w:t>) (</w:t>
      </w:r>
      <w:r>
        <w:rPr>
          <w:rFonts w:ascii="Arial TUR;Arial Unicode MS" w:hAnsi="Arial TUR;Arial Unicode MS" w:cs="Miriam"/>
          <w:spacing w:val="10"/>
          <w:rtl w:val="true"/>
        </w:rPr>
        <w:t>להלן</w:t>
      </w:r>
      <w:r>
        <w:rPr>
          <w:rFonts w:cs="Miriam" w:ascii="Arial TUR;Arial Unicode MS" w:hAnsi="Arial TUR;Arial Unicode MS"/>
          <w:spacing w:val="10"/>
          <w:rtl w:val="true"/>
        </w:rPr>
        <w:t xml:space="preserve">: </w:t>
      </w:r>
      <w:r>
        <w:rPr>
          <w:rFonts w:ascii="Arial TUR;Arial Unicode MS" w:hAnsi="Arial TUR;Arial Unicode MS" w:cs="Miriam"/>
          <w:spacing w:val="10"/>
          <w:rtl w:val="true"/>
        </w:rPr>
        <w:t>עניין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/>
          <w:rtl w:val="true"/>
        </w:rPr>
        <w:t>ליבוביץ</w:t>
      </w:r>
      <w:r>
        <w:rPr>
          <w:rFonts w:cs="Miriam"/>
          <w:rtl w:val="true"/>
        </w:rPr>
        <w:t>'</w:t>
      </w:r>
      <w:r>
        <w:rPr>
          <w:rFonts w:cs="Miriam" w:ascii="Arial TUR;Arial Unicode MS" w:hAnsi="Arial TUR;Arial Unicode MS"/>
          <w:spacing w:val="10"/>
          <w:rtl w:val="true"/>
        </w:rPr>
        <w:t xml:space="preserve">); </w:t>
      </w:r>
      <w:hyperlink r:id="rId30"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</w:rPr>
          <w:t>5220/09</w:t>
        </w:r>
      </w:hyperlink>
      <w:r>
        <w:rPr>
          <w:rFonts w:cs="Miriam" w:ascii="Arial TUR;Arial Unicode MS" w:hAnsi="Arial TUR;Arial Unicode MS"/>
          <w:spacing w:val="10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(</w:t>
      </w:r>
      <w:r>
        <w:rPr>
          <w:rFonts w:cs="Miriam" w:ascii="Arial TUR;Arial Unicode MS" w:hAnsi="Arial TUR;Arial Unicode MS"/>
          <w:spacing w:val="10"/>
        </w:rPr>
        <w:t>30.12.09</w:t>
      </w:r>
      <w:r>
        <w:rPr>
          <w:rFonts w:cs="Miriam" w:ascii="Arial TUR;Arial Unicode MS" w:hAnsi="Arial TUR;Arial Unicode MS"/>
          <w:spacing w:val="10"/>
          <w:rtl w:val="true"/>
        </w:rPr>
        <w:t>)).</w:t>
      </w: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  <w:t xml:space="preserve">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9/6/10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 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8/9/14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23/6/14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23/10/08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5/6/13</w:t>
      </w:r>
      <w:r>
        <w:rPr>
          <w:rtl w:val="true"/>
        </w:rPr>
        <w:t xml:space="preserve">),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לקביעתו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rtl w:val="true"/>
        </w:rPr>
        <w:t xml:space="preserve">. 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ובענין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18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,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קריניאן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28/3/12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יב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180"/>
        <w:jc w:val="both"/>
        <w:rPr>
          <w:rFonts w:ascii="Arial TUR;Arial Unicode MS" w:hAnsi="Arial TUR;Arial Unicode MS" w:cs="Arial TUR;Arial Unicode MS"/>
          <w:spacing w:val="10"/>
        </w:rPr>
      </w:pPr>
      <w:r>
        <w:rPr>
          <w:rFonts w:cs="Arial TUR;Arial Unicode MS" w:ascii="Arial TUR;Arial Unicode MS" w:hAnsi="Arial TUR;Arial Unicode MS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חרטתם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sz w:val="26"/>
          <w:sz w:val="26"/>
          <w:rtl w:val="true"/>
        </w:rPr>
        <w:t>מאמציהם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לתיקון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תוצאות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ולפיצוי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tl w:val="true"/>
        </w:rPr>
        <w:t>.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25/4/07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וויתר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.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וממרץ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'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נעמן</w:t>
      </w:r>
      <w:r>
        <w:rPr>
          <w:rtl w:val="true"/>
        </w:rPr>
        <w:t xml:space="preserve">"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4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/>
          <w:bCs w:val="false"/>
          <w:rtl w:val="true"/>
        </w:rPr>
        <w:t>לחומרה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אני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לוקחת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בחשבון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כי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אין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מדובר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בעבירה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הראשונה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שביצע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הנאשם</w:t>
      </w:r>
      <w:r>
        <w:rPr>
          <w:b/>
          <w:bCs w:val="false"/>
          <w:rtl w:val="true"/>
        </w:rPr>
        <w:t xml:space="preserve">. </w:t>
      </w:r>
      <w:r>
        <w:rPr>
          <w:b/>
          <w:b/>
          <w:bCs w:val="false"/>
          <w:rtl w:val="true"/>
        </w:rPr>
        <w:t>לחובתו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עבירות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שביצע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שלושה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חודשים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לפני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העבירות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דידן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 xml:space="preserve">- </w:t>
      </w:r>
      <w:r>
        <w:rPr>
          <w:b/>
          <w:b/>
          <w:bCs w:val="false"/>
          <w:rtl w:val="true"/>
        </w:rPr>
        <w:t>איומים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והיזק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במזיד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לרכוש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 xml:space="preserve">- </w:t>
      </w:r>
      <w:r>
        <w:rPr>
          <w:b/>
          <w:b/>
          <w:bCs w:val="false"/>
          <w:rtl w:val="true"/>
        </w:rPr>
        <w:t>בגינן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הורשע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בשנת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Cs w:val="false"/>
        </w:rPr>
        <w:t>14</w:t>
      </w:r>
      <w:r>
        <w:rPr>
          <w:b/>
          <w:bCs w:val="false"/>
          <w:rtl w:val="true"/>
        </w:rPr>
        <w:t xml:space="preserve">'. </w:t>
      </w:r>
      <w:r>
        <w:rPr>
          <w:b/>
          <w:b/>
          <w:bCs w:val="false"/>
          <w:rtl w:val="true"/>
        </w:rPr>
        <w:t>העבירות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בתיק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זה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בוצעו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במדרג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חומרה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גבוה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יותר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בחבורה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תוך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שימוש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בנשק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חם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וסיכון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חיי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אדם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לצורך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השגת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>"</w:t>
      </w:r>
      <w:r>
        <w:rPr>
          <w:b/>
          <w:b/>
          <w:bCs w:val="false"/>
          <w:rtl w:val="true"/>
        </w:rPr>
        <w:t>כסף</w:t>
      </w:r>
      <w:r>
        <w:rPr>
          <w:rFonts w:cs="Times New Roman"/>
          <w:b/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קל</w:t>
      </w:r>
      <w:r>
        <w:rPr>
          <w:b/>
          <w:bCs w:val="false"/>
          <w:rtl w:val="true"/>
        </w:rPr>
        <w:t xml:space="preserve">". </w:t>
      </w:r>
      <w:r>
        <w:rPr>
          <w:rStyle w:val="normal-h"/>
          <w:b/>
          <w:b/>
          <w:bCs/>
          <w:sz w:val="24"/>
          <w:sz w:val="24"/>
          <w:rtl w:val="true"/>
        </w:rPr>
        <w:t>אין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צריך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לאמר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כי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התנהלותו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זו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מלמדת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על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תעוזתו</w:t>
      </w:r>
      <w:r>
        <w:rPr>
          <w:rStyle w:val="normal-h"/>
          <w:b/>
          <w:bCs/>
          <w:sz w:val="24"/>
          <w:rtl w:val="true"/>
        </w:rPr>
        <w:t xml:space="preserve">, </w:t>
      </w:r>
      <w:r>
        <w:rPr>
          <w:rStyle w:val="normal-h"/>
          <w:b/>
          <w:b/>
          <w:bCs/>
          <w:sz w:val="24"/>
          <w:sz w:val="24"/>
          <w:rtl w:val="true"/>
        </w:rPr>
        <w:t>ועל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המסוכנות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הרבה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הנשקפת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ממנו</w:t>
      </w:r>
      <w:r>
        <w:rPr>
          <w:rStyle w:val="normal-h"/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Style w:val="normal-h"/>
          <w:b/>
          <w:b/>
          <w:bCs/>
          <w:sz w:val="24"/>
          <w:sz w:val="24"/>
          <w:rtl w:val="true"/>
        </w:rPr>
        <w:t>לציבור</w:t>
      </w:r>
      <w:r>
        <w:rPr>
          <w:rStyle w:val="normal-h"/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  <w:tab w:val="left" w:pos="851" w:leader="none"/>
        </w:tabs>
        <w:overflowPunct w:val="false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", </w:t>
      </w:r>
      <w:r>
        <w:rPr>
          <w:rtl w:val="true"/>
        </w:rPr>
        <w:t>משהיה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25/6/13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  <w:tab w:val="left" w:pos="851" w:leader="none"/>
        </w:tabs>
        <w:overflowPunct w:val="false"/>
        <w:spacing w:lineRule="auto" w:line="360"/>
        <w:ind w:start="1440" w:end="0"/>
        <w:jc w:val="both"/>
        <w:rPr>
          <w:rFonts w:cs="Times New Roman"/>
          <w:spacing w:val="10"/>
          <w:sz w:val="18"/>
          <w:szCs w:val="18"/>
        </w:rPr>
      </w:pPr>
      <w:r>
        <w:rPr>
          <w:rFonts w:cs="Times New Roman"/>
          <w:spacing w:val="10"/>
          <w:sz w:val="18"/>
          <w:szCs w:val="1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  <w:tab w:val="left" w:pos="851" w:leader="none"/>
        </w:tabs>
        <w:overflowPunct w:val="false"/>
        <w:spacing w:lineRule="auto" w:line="360"/>
        <w:ind w:start="1440" w:end="0"/>
        <w:jc w:val="both"/>
        <w:rPr>
          <w:rFonts w:cs="Miriam"/>
        </w:rPr>
      </w:pPr>
      <w:r>
        <w:rPr>
          <w:rFonts w:cs="Miriam"/>
          <w:spacing w:val="10"/>
          <w:rtl w:val="true"/>
        </w:rPr>
        <w:t>"</w:t>
      </w:r>
      <w:r>
        <w:rPr>
          <w:rFonts w:cs="Miriam"/>
          <w:spacing w:val="10"/>
        </w:rPr>
        <w:t>58</w:t>
      </w:r>
      <w:r>
        <w:rPr>
          <w:rFonts w:cs="Miriam"/>
          <w:spacing w:val="10"/>
          <w:rtl w:val="true"/>
        </w:rPr>
        <w:t>. ...</w:t>
      </w:r>
      <w:r>
        <w:rPr>
          <w:rFonts w:cs="Miriam"/>
          <w:spacing w:val="10"/>
          <w:rtl w:val="true"/>
        </w:rPr>
        <w:t>לגישתי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יש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מקום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להתחשב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במסגרת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שיקולי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בייחודיותה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קבוצת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</w:t>
      </w:r>
      <w:r>
        <w:rPr>
          <w:rFonts w:cs="Miriam"/>
          <w:spacing w:val="10"/>
          <w:rtl w:val="true"/>
        </w:rPr>
        <w:t>"</w:t>
      </w:r>
      <w:r>
        <w:rPr>
          <w:rFonts w:cs="Miriam"/>
          <w:spacing w:val="10"/>
          <w:rtl w:val="true"/>
        </w:rPr>
        <w:t>בגירים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צעירים</w:t>
      </w:r>
      <w:r>
        <w:rPr>
          <w:rFonts w:cs="Miriam"/>
          <w:spacing w:val="10"/>
          <w:rtl w:val="true"/>
        </w:rPr>
        <w:t xml:space="preserve">". </w:t>
      </w:r>
      <w:r>
        <w:rPr>
          <w:rFonts w:cs="Miriam"/>
          <w:spacing w:val="10"/>
          <w:rtl w:val="true"/>
        </w:rPr>
        <w:t>חשוב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להבהיר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אין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בקביעתנו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זו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כדי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לקבוע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כי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בגזירת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עונשם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קבוצה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זו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יש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לשקול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שיקולים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זהים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לאלו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קטינים</w:t>
      </w:r>
      <w:r>
        <w:rPr>
          <w:rFonts w:cs="Miriam"/>
          <w:spacing w:val="10"/>
          <w:rtl w:val="true"/>
        </w:rPr>
        <w:t xml:space="preserve">. </w:t>
      </w:r>
      <w:r>
        <w:rPr>
          <w:rFonts w:cs="Miriam"/>
          <w:spacing w:val="10"/>
          <w:rtl w:val="true"/>
        </w:rPr>
        <w:t>יחד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עם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זאת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בקובעו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עונשו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"</w:t>
      </w:r>
      <w:r>
        <w:rPr>
          <w:rFonts w:cs="Miriam"/>
          <w:spacing w:val="10"/>
          <w:rtl w:val="true"/>
        </w:rPr>
        <w:t>בגיר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צעיר</w:t>
      </w:r>
      <w:r>
        <w:rPr>
          <w:rFonts w:cs="Miriam"/>
          <w:spacing w:val="10"/>
          <w:rtl w:val="true"/>
        </w:rPr>
        <w:t xml:space="preserve">" </w:t>
      </w:r>
      <w:r>
        <w:rPr>
          <w:rFonts w:cs="Miriam"/>
          <w:spacing w:val="10"/>
          <w:rtl w:val="true"/>
        </w:rPr>
        <w:t>לייחס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לגילו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משקל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משמעותי</w:t>
      </w:r>
      <w:r>
        <w:rPr>
          <w:rFonts w:cs="Miriam"/>
          <w:spacing w:val="10"/>
          <w:rtl w:val="true"/>
        </w:rPr>
        <w:t xml:space="preserve">. </w:t>
      </w:r>
      <w:r>
        <w:rPr>
          <w:rFonts w:cs="Miriam"/>
          <w:spacing w:val="10"/>
          <w:rtl w:val="true"/>
        </w:rPr>
        <w:t>במסגרת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זאת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עליו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לשקול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בין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היתר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קרבתו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לגיל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</w:rPr>
        <w:t>18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ההשפעה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האפשרית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שיקומו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ומצבו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הנפשי</w:t>
      </w:r>
      <w:r>
        <w:rPr>
          <w:rFonts w:cs="Miriam"/>
          <w:spacing w:val="10"/>
          <w:rtl w:val="true"/>
        </w:rPr>
        <w:t xml:space="preserve">, </w:t>
      </w:r>
      <w:r>
        <w:rPr>
          <w:rFonts w:cs="Miriam"/>
          <w:spacing w:val="10"/>
          <w:rtl w:val="true"/>
        </w:rPr>
        <w:t>ובגרותו</w:t>
      </w:r>
      <w:r>
        <w:rPr>
          <w:rFonts w:cs="Miriam"/>
          <w:spacing w:val="10"/>
          <w:rtl w:val="true"/>
        </w:rPr>
        <w:t xml:space="preserve">. </w:t>
      </w:r>
      <w:r>
        <w:rPr>
          <w:rFonts w:cs="Miriam"/>
          <w:spacing w:val="10"/>
          <w:rtl w:val="true"/>
        </w:rPr>
        <w:t>הכול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כעולה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מתסקיר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המבחן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שיוגש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בפניו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בטרם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גזירת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העונש</w:t>
      </w:r>
      <w:r>
        <w:rPr>
          <w:rFonts w:cs="Miriam"/>
          <w:spacing w:val="10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cs="Miriam"/>
          <w:highlight w:val="yellow"/>
        </w:rPr>
      </w:pPr>
      <w:r>
        <w:rPr>
          <w:rFonts w:cs="Miriam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ובחבורה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11</w:t>
      </w:r>
      <w:r>
        <w:rPr>
          <w:rtl w:val="true"/>
        </w:rPr>
        <w:t>.</w:t>
        <w:tab/>
        <w:t xml:space="preserve"> </w:t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לכיאל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,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לסוגים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 w:before="120" w:after="240"/>
        <w:ind w:start="1466" w:end="0"/>
        <w:jc w:val="both"/>
        <w:rPr/>
      </w:pPr>
      <w:r>
        <w:rPr>
          <w:rFonts w:cs="Miriam" w:ascii="Arial TUR;Arial Unicode MS" w:hAnsi="Arial TUR;Arial Unicode MS"/>
          <w:spacing w:val="10"/>
          <w:rtl w:val="true"/>
        </w:rPr>
        <w:t>"</w:t>
      </w:r>
      <w:r>
        <w:rPr>
          <w:rFonts w:ascii="Arial TUR;Arial Unicode MS" w:hAnsi="Arial TUR;Arial Unicode MS" w:cs="Miriam"/>
          <w:spacing w:val="10"/>
          <w:rtl w:val="true"/>
        </w:rPr>
        <w:t>עקרון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אחידות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הענישה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הוא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כלל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חשוב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הבא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למנוע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קיום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הפלייה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בין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שווים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או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דומים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למען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עשיית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צדק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עם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נאשמים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ולצורך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שמירת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אימון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הציבור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בהליך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spacing w:val="10"/>
          <w:rtl w:val="true"/>
        </w:rPr>
        <w:t>הפלילי</w:t>
      </w:r>
      <w:r>
        <w:rPr>
          <w:rFonts w:cs="Miriam" w:ascii="Arial TUR;Arial Unicode MS" w:hAnsi="Arial TUR;Arial Unicode MS"/>
          <w:spacing w:val="10"/>
          <w:rtl w:val="true"/>
        </w:rPr>
        <w:t>" (</w:t>
      </w:r>
      <w:hyperlink r:id="rId46"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</w:rPr>
          <w:t>9792/06</w:t>
        </w:r>
      </w:hyperlink>
      <w:r>
        <w:rPr>
          <w:rFonts w:cs="Miriam" w:ascii="Arial TUR;Arial Unicode MS" w:hAnsi="Arial TUR;Arial Unicode MS"/>
          <w:spacing w:val="10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חמוד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נ</w:t>
      </w:r>
      <w:r>
        <w:rPr>
          <w:rFonts w:cs="Miriam" w:ascii="Arial TUR;Arial Unicode MS" w:hAnsi="Arial TUR;Arial Unicode MS"/>
          <w:rtl w:val="true"/>
        </w:rPr>
        <w:t xml:space="preserve">' </w:t>
      </w:r>
      <w:r>
        <w:rPr>
          <w:rFonts w:ascii="Arial TUR;Arial Unicode MS" w:hAnsi="Arial TUR;Arial Unicode MS" w:cs="Miriam"/>
          <w:rtl w:val="true"/>
        </w:rPr>
        <w:t>מדינת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ישראל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ascii="Arial TUR;Arial Unicode MS" w:hAnsi="Arial TUR;Arial Unicode MS" w:cs="Miriam"/>
          <w:spacing w:val="10"/>
          <w:rtl w:val="true"/>
        </w:rPr>
        <w:t>בפיסקה</w:t>
      </w:r>
      <w:r>
        <w:rPr>
          <w:rFonts w:ascii="Arial TUR;Arial Unicode MS" w:hAnsi="Arial TUR;Arial Unicode MS" w:eastAsia="Arial TUR;Arial Unicode MS" w:cs="Arial TUR;Arial Unicode MS"/>
          <w:spacing w:val="10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</w:rPr>
        <w:t>15</w:t>
      </w:r>
      <w:r>
        <w:rPr>
          <w:rFonts w:cs="Miriam" w:ascii="Arial TUR;Arial Unicode MS" w:hAnsi="Arial TUR;Arial Unicode MS"/>
          <w:spacing w:val="10"/>
          <w:rtl w:val="true"/>
        </w:rPr>
        <w:t xml:space="preserve"> (</w:t>
      </w:r>
      <w:r>
        <w:rPr>
          <w:rFonts w:cs="Miriam" w:ascii="Arial TUR;Arial Unicode MS" w:hAnsi="Arial TUR;Arial Unicode MS"/>
          <w:spacing w:val="10"/>
        </w:rPr>
        <w:t>1.4.2007</w:t>
      </w:r>
      <w:r>
        <w:rPr>
          <w:rFonts w:cs="Miriam" w:ascii="Arial TUR;Arial Unicode MS" w:hAnsi="Arial TUR;Arial Unicode MS"/>
          <w:spacing w:val="10"/>
          <w:rtl w:val="true"/>
        </w:rPr>
        <w:t xml:space="preserve">)). </w:t>
      </w:r>
      <w:r>
        <w:rPr>
          <w:rFonts w:ascii="Arial TUR;Arial Unicode MS" w:hAnsi="Arial TUR;Arial Unicode MS" w:cs="Miriam"/>
          <w:rtl w:val="true"/>
        </w:rPr>
        <w:t>משמעות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הכלל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היא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שמקום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בו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מורשעים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מספר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נאשמים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באותה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פרשה</w:t>
      </w:r>
      <w:r>
        <w:rPr>
          <w:rFonts w:cs="Miriam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Miriam"/>
          <w:rtl w:val="true"/>
        </w:rPr>
        <w:t>ומעשיהם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דומים</w:t>
      </w:r>
      <w:r>
        <w:rPr>
          <w:rFonts w:cs="Miriam" w:ascii="Arial TUR;Arial Unicode MS" w:hAnsi="Arial TUR;Arial Unicode MS"/>
          <w:rtl w:val="true"/>
        </w:rPr>
        <w:t xml:space="preserve">, </w:t>
      </w:r>
      <w:r>
        <w:rPr>
          <w:rFonts w:ascii="Arial TUR;Arial Unicode MS" w:hAnsi="Arial TUR;Arial Unicode MS" w:cs="Miriam"/>
          <w:rtl w:val="true"/>
        </w:rPr>
        <w:t>אחריותם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המשותפת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תבוא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בעיקרון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לידי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ביטוי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בעונש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דומה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שיוטל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ascii="Arial TUR;Arial Unicode MS" w:hAnsi="Arial TUR;Arial Unicode MS" w:cs="Miriam"/>
          <w:rtl w:val="true"/>
        </w:rPr>
        <w:t>עליהם</w:t>
      </w:r>
      <w:r>
        <w:rPr>
          <w:rFonts w:ascii="Arial TUR;Arial Unicode MS" w:hAnsi="Arial TUR;Arial Unicode MS" w:eastAsia="Arial TUR;Arial Unicode MS" w:cs="Arial TUR;Arial Unicode MS"/>
          <w:rtl w:val="true"/>
        </w:rPr>
        <w:t xml:space="preserve"> </w:t>
      </w:r>
      <w:r>
        <w:rPr>
          <w:rFonts w:cs="Miriam" w:ascii="Arial TUR;Arial Unicode MS" w:hAnsi="Arial TUR;Arial Unicode MS"/>
          <w:spacing w:val="10"/>
          <w:rtl w:val="true"/>
        </w:rPr>
        <w:t>(</w:t>
      </w:r>
      <w:hyperlink r:id="rId47"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</w:rPr>
          <w:t>9937/01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חורב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נ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 xml:space="preserve">' 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מדינת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ישראל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 xml:space="preserve">, 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Miriam" w:ascii="Arial TUR;Arial Unicode MS" w:hAnsi="Arial TUR;Arial Unicode MS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ד</w:t>
        </w:r>
        <w:r>
          <w:rPr>
            <w:rStyle w:val="Hyperlink"/>
            <w:rFonts w:ascii="Arial TUR;Arial Unicode MS" w:hAnsi="Arial TUR;Arial Unicode MS" w:eastAsia="Arial TUR;Arial Unicode MS" w:cs="Arial TUR;Arial Unicode MS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ascii="Arial TUR;Arial Unicode MS" w:hAnsi="Arial TUR;Arial Unicode MS" w:cs="Miriam"/>
            <w:color w:val="0000FF"/>
            <w:spacing w:val="10"/>
            <w:u w:val="single"/>
            <w:rtl w:val="true"/>
          </w:rPr>
          <w:t>נח</w:t>
        </w:r>
      </w:hyperlink>
      <w:r>
        <w:rPr>
          <w:rFonts w:cs="Miriam" w:ascii="Arial TUR;Arial Unicode MS" w:hAnsi="Arial TUR;Arial Unicode MS"/>
          <w:spacing w:val="10"/>
          <w:rtl w:val="true"/>
        </w:rPr>
        <w:t>(</w:t>
      </w:r>
      <w:r>
        <w:rPr>
          <w:rFonts w:cs="Miriam" w:ascii="Arial TUR;Arial Unicode MS" w:hAnsi="Arial TUR;Arial Unicode MS"/>
          <w:spacing w:val="10"/>
        </w:rPr>
        <w:t>6</w:t>
      </w:r>
      <w:r>
        <w:rPr>
          <w:rFonts w:cs="Miriam" w:ascii="Arial TUR;Arial Unicode MS" w:hAnsi="Arial TUR;Arial Unicode MS"/>
          <w:spacing w:val="10"/>
          <w:rtl w:val="true"/>
        </w:rPr>
        <w:t xml:space="preserve">), </w:t>
      </w:r>
      <w:r>
        <w:rPr>
          <w:rFonts w:cs="Miriam" w:ascii="Arial TUR;Arial Unicode MS" w:hAnsi="Arial TUR;Arial Unicode MS"/>
          <w:spacing w:val="10"/>
        </w:rPr>
        <w:t>738</w:t>
      </w:r>
      <w:r>
        <w:rPr>
          <w:rFonts w:cs="Miriam" w:ascii="Arial TUR;Arial Unicode MS" w:hAnsi="Arial TUR;Arial Unicode MS"/>
          <w:spacing w:val="10"/>
          <w:rtl w:val="true"/>
        </w:rPr>
        <w:t xml:space="preserve">, </w:t>
      </w:r>
      <w:r>
        <w:rPr>
          <w:rFonts w:cs="Miriam" w:ascii="Arial TUR;Arial Unicode MS" w:hAnsi="Arial TUR;Arial Unicode MS"/>
          <w:spacing w:val="10"/>
        </w:rPr>
        <w:t>752</w:t>
      </w:r>
      <w:r>
        <w:rPr>
          <w:rFonts w:cs="Miriam" w:ascii="Arial TUR;Arial Unicode MS" w:hAnsi="Arial TUR;Arial Unicode MS"/>
          <w:spacing w:val="10"/>
          <w:rtl w:val="true"/>
        </w:rPr>
        <w:t xml:space="preserve"> (</w:t>
      </w:r>
      <w:r>
        <w:rPr>
          <w:rFonts w:cs="Miriam" w:ascii="Arial TUR;Arial Unicode MS" w:hAnsi="Arial TUR;Arial Unicode MS"/>
          <w:spacing w:val="10"/>
        </w:rPr>
        <w:t>2004</w:t>
      </w:r>
      <w:r>
        <w:rPr>
          <w:rFonts w:cs="Miriam" w:ascii="Arial TUR;Arial Unicode MS" w:hAnsi="Arial TUR;Arial Unicode MS"/>
          <w:spacing w:val="10"/>
          <w:rtl w:val="true"/>
        </w:rPr>
        <w:t>))</w:t>
      </w:r>
      <w:r>
        <w:rPr>
          <w:rFonts w:cs="Arial TUR;Arial Unicode MS" w:ascii="Arial TUR;Arial Unicode MS" w:hAnsi="Arial TUR;Arial Unicode MS"/>
          <w:spacing w:val="10"/>
          <w:rtl w:val="true"/>
        </w:rPr>
        <w:t>"</w:t>
      </w:r>
      <w:r>
        <w:rPr>
          <w:spacing w:val="10"/>
          <w:rtl w:val="true"/>
        </w:rPr>
        <w:t>.</w:t>
      </w:r>
      <w:r>
        <w:rPr>
          <w:rtl w:val="true"/>
        </w:rPr>
        <w:t xml:space="preserve"> 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24/3/10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5640/97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רייך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אילן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3173/09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פראגין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5/5/09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14/4/11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אבורמד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15/11/12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start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משנגזר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 w:before="120" w:after="240"/>
        <w:ind w:start="720" w:end="0"/>
        <w:jc w:val="both"/>
        <w:rPr/>
      </w:pP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ביצורית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מעורפל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משמצא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 w:before="120" w:after="24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06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 w:before="120" w:after="240"/>
        <w:ind w:start="720"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שיהאב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 w:before="120" w:after="240"/>
        <w:ind w:start="720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), </w:t>
      </w:r>
      <w:r>
        <w:rPr>
          <w:rtl w:val="true"/>
        </w:rPr>
        <w:t>והוכח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bookmarkStart w:id="11" w:name="_GoBack"/>
      <w:bookmarkEnd w:id="11"/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1"/>
        <w:ind w:end="0"/>
        <w:jc w:val="start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39183-11-13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מסרי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>
      <w:lang w:val="en-IL" w:eastAsia="en-IL"/>
    </w:rPr>
  </w:style>
  <w:style w:type="paragraph" w:styleId="Style14">
    <w:name w:val="החלטה"/>
    <w:basedOn w:val="Normal"/>
    <w:qFormat/>
    <w:pPr>
      <w:suppressLineNumbers/>
    </w:pPr>
    <w:rPr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b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case/11329399" TargetMode="External"/><Relationship Id="rId14" Type="http://schemas.openxmlformats.org/officeDocument/2006/relationships/hyperlink" Target="http://www.nevo.co.il/case/5982047" TargetMode="External"/><Relationship Id="rId15" Type="http://schemas.openxmlformats.org/officeDocument/2006/relationships/hyperlink" Target="http://www.nevo.co.il/case/5815848" TargetMode="External"/><Relationship Id="rId16" Type="http://schemas.openxmlformats.org/officeDocument/2006/relationships/hyperlink" Target="http://www.nevo.co.il/case/17939098" TargetMode="External"/><Relationship Id="rId17" Type="http://schemas.openxmlformats.org/officeDocument/2006/relationships/hyperlink" Target="http://www.nevo.co.il/case/6243627" TargetMode="External"/><Relationship Id="rId18" Type="http://schemas.openxmlformats.org/officeDocument/2006/relationships/hyperlink" Target="http://www.nevo.co.il/case/6243627" TargetMode="External"/><Relationship Id="rId19" Type="http://schemas.openxmlformats.org/officeDocument/2006/relationships/hyperlink" Target="http://www.nevo.co.il/case/8245383" TargetMode="External"/><Relationship Id="rId20" Type="http://schemas.openxmlformats.org/officeDocument/2006/relationships/hyperlink" Target="http://www.nevo.co.il/case/7765404" TargetMode="External"/><Relationship Id="rId21" Type="http://schemas.openxmlformats.org/officeDocument/2006/relationships/hyperlink" Target="http://www.nevo.co.il/case/5882926" TargetMode="External"/><Relationship Id="rId22" Type="http://schemas.openxmlformats.org/officeDocument/2006/relationships/hyperlink" Target="http://www.nevo.co.il/case/17925240" TargetMode="External"/><Relationship Id="rId23" Type="http://schemas.openxmlformats.org/officeDocument/2006/relationships/hyperlink" Target="http://www.nevo.co.il/case/5840665" TargetMode="External"/><Relationship Id="rId24" Type="http://schemas.openxmlformats.org/officeDocument/2006/relationships/hyperlink" Target="http://www.nevo.co.il/case/5873746" TargetMode="External"/><Relationship Id="rId25" Type="http://schemas.openxmlformats.org/officeDocument/2006/relationships/hyperlink" Target="http://www.nevo.co.il/case/5942308" TargetMode="External"/><Relationship Id="rId26" Type="http://schemas.openxmlformats.org/officeDocument/2006/relationships/hyperlink" Target="http://www.nevo.co.il/case/7776280" TargetMode="External"/><Relationship Id="rId27" Type="http://schemas.openxmlformats.org/officeDocument/2006/relationships/hyperlink" Target="http://www.nevo.co.il/case/4255797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case/5891605" TargetMode="External"/><Relationship Id="rId30" Type="http://schemas.openxmlformats.org/officeDocument/2006/relationships/hyperlink" Target="http://www.nevo.co.il/case/6000182" TargetMode="External"/><Relationship Id="rId31" Type="http://schemas.openxmlformats.org/officeDocument/2006/relationships/hyperlink" Target="http://www.nevo.co.il/case/5969313" TargetMode="External"/><Relationship Id="rId32" Type="http://schemas.openxmlformats.org/officeDocument/2006/relationships/hyperlink" Target="http://www.nevo.co.il/case/7776280" TargetMode="External"/><Relationship Id="rId33" Type="http://schemas.openxmlformats.org/officeDocument/2006/relationships/hyperlink" Target="http://www.nevo.co.il/case/17905523" TargetMode="External"/><Relationship Id="rId34" Type="http://schemas.openxmlformats.org/officeDocument/2006/relationships/hyperlink" Target="http://www.nevo.co.il/case/11328863" TargetMode="External"/><Relationship Id="rId35" Type="http://schemas.openxmlformats.org/officeDocument/2006/relationships/hyperlink" Target="http://www.nevo.co.il/case/5709922" TargetMode="External"/><Relationship Id="rId36" Type="http://schemas.openxmlformats.org/officeDocument/2006/relationships/hyperlink" Target="http://www.nevo.co.il/case/6473037" TargetMode="External"/><Relationship Id="rId37" Type="http://schemas.openxmlformats.org/officeDocument/2006/relationships/hyperlink" Target="http://www.nevo.co.il/case/593366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j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170256" TargetMode="External"/><Relationship Id="rId42" Type="http://schemas.openxmlformats.org/officeDocument/2006/relationships/hyperlink" Target="http://www.nevo.co.il/case/5982047" TargetMode="External"/><Relationship Id="rId43" Type="http://schemas.openxmlformats.org/officeDocument/2006/relationships/hyperlink" Target="http://www.nevo.co.il/law/70301/40j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6248029" TargetMode="External"/><Relationship Id="rId46" Type="http://schemas.openxmlformats.org/officeDocument/2006/relationships/hyperlink" Target="http://www.nevo.co.il/case/6159820" TargetMode="External"/><Relationship Id="rId47" Type="http://schemas.openxmlformats.org/officeDocument/2006/relationships/hyperlink" Target="http://www.nevo.co.il/case/5701742" TargetMode="External"/><Relationship Id="rId48" Type="http://schemas.openxmlformats.org/officeDocument/2006/relationships/hyperlink" Target="http://www.nevo.co.il/case/6155180" TargetMode="External"/><Relationship Id="rId49" Type="http://schemas.openxmlformats.org/officeDocument/2006/relationships/hyperlink" Target="http://www.nevo.co.il/case/5820942" TargetMode="External"/><Relationship Id="rId50" Type="http://schemas.openxmlformats.org/officeDocument/2006/relationships/hyperlink" Target="http://www.nevo.co.il/case/5880417" TargetMode="External"/><Relationship Id="rId51" Type="http://schemas.openxmlformats.org/officeDocument/2006/relationships/hyperlink" Target="http://www.nevo.co.il/case/6246447" TargetMode="External"/><Relationship Id="rId52" Type="http://schemas.openxmlformats.org/officeDocument/2006/relationships/hyperlink" Target="http://www.nevo.co.il/case/5594754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2017-12-05T08:45:00Z</dcterms:created>
  <dc:creator> </dc:creator>
  <dc:description/>
  <cp:keywords/>
  <dc:language>en-IL</dc:language>
  <cp:lastModifiedBy>run</cp:lastModifiedBy>
  <dcterms:modified xsi:type="dcterms:W3CDTF">2017-12-05T08:45:00Z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מסרי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11329399;5982047:2;5815848;17939098;6243627:2;8245383;7765404;5882926;17925240;5840665;5873746;5942308;7776280:2;4255797;5891605;6000182;5969313;17905523;11328863;5709922;6473037;5933664;6170256;6248029;6159820;5701742;6155180;5820942;5880417;6246447</vt:lpwstr>
  </property>
  <property fmtid="{D5CDD505-2E9C-101B-9397-08002B2CF9AE}" pid="9" name="CASESLISTTMP2">
    <vt:lpwstr>5594754</vt:lpwstr>
  </property>
  <property fmtid="{D5CDD505-2E9C-101B-9397-08002B2CF9AE}" pid="10" name="CITY">
    <vt:lpwstr>חי'</vt:lpwstr>
  </property>
  <property fmtid="{D5CDD505-2E9C-101B-9397-08002B2CF9AE}" pid="11" name="DATE">
    <vt:lpwstr>20150326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70301/402.b;029:2;144.a:2;40jb;40ja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39183</vt:lpwstr>
  </property>
  <property fmtid="{D5CDD505-2E9C-101B-9397-08002B2CF9AE}" pid="23" name="NEWPARTB">
    <vt:lpwstr>11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390020150326</vt:lpwstr>
  </property>
  <property fmtid="{D5CDD505-2E9C-101B-9397-08002B2CF9AE}" pid="35" name="TYPE_N_DATE">
    <vt:lpwstr>39020150326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