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39193-12-15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ידאוי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295" w:hRule="atLeast"/>
        </w:trPr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left" w:pos="4899" w:leader="none"/>
                <w:tab w:val="right" w:pos="8604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אדלר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3" w:name="FirstAppellant"/>
            <w:bookmarkEnd w:id="3"/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יאסמין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ידאוי 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xxxxxxxxxx</w:t>
            </w:r>
            <w:r>
              <w:rPr>
                <w:rFonts w:cs="Arial" w:ascii="Arial" w:hAnsi="Arial"/>
                <w:b/>
                <w:bCs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גזר דין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ידאוי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פארס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b/>
                <w:b/>
                <w:bCs/>
                <w:rtl w:val="true"/>
              </w:rPr>
              <w:t>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ציבורית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4899" w:leader="none"/>
                <w:tab w:val="right" w:pos="8604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ind w:end="0"/>
        <w:jc w:val="start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bookmarkEnd w:id="4"/>
            <w:r>
              <w:rPr>
                <w:rFonts w:cs="FrankRuehl" w:ascii="Arial" w:hAnsi="Arial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הנאשם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מוראד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ידאוי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8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cs="Calibri" w:ascii="Calibri" w:hAnsi="Calibri"/>
          <w:rtl w:val="true"/>
        </w:rPr>
        <w:t xml:space="preserve">+ </w:t>
      </w:r>
      <w:hyperlink r:id="rId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2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bookmarkStart w:id="5" w:name="ABSTRACT_START"/>
      <w:bookmarkEnd w:id="5"/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ליפשיץ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נשואה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ידאוי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8.12.15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8.12.15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בעבר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ascii="Calibri" w:hAnsi="Calibri" w:cs="Calibri"/>
          <w:rtl w:val="true"/>
        </w:rPr>
        <w:t xml:space="preserve"> או למעשים פליליים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תופעה </w:t>
      </w:r>
      <w:r>
        <w:rPr>
          <w:rFonts w:ascii="Calibri" w:hAnsi="Calibri" w:cs="Calibri"/>
          <w:rtl w:val="true"/>
        </w:rPr>
        <w:t>הפ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יש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שבהתאם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</w:t>
      </w:r>
      <w:bookmarkStart w:id="8" w:name="LawTable"/>
      <w:bookmarkEnd w:id="8"/>
    </w:p>
    <w:p>
      <w:pPr>
        <w:pStyle w:val="Normal"/>
        <w:numPr>
          <w:ilvl w:val="0"/>
          <w:numId w:val="2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numPr>
          <w:ilvl w:val="0"/>
          <w:numId w:val="2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numPr>
          <w:ilvl w:val="0"/>
          <w:numId w:val="2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  <w:rtl w:val="true"/>
        </w:rPr>
        <w:t>לביצוע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העבירה</w:t>
      </w:r>
      <w:r>
        <w:rPr>
          <w:rFonts w:cs="Calibri" w:ascii="Calibri" w:hAnsi="Calibri"/>
          <w:bCs/>
          <w:rtl w:val="true"/>
        </w:rPr>
        <w:t xml:space="preserve">- </w:t>
      </w:r>
      <w:r>
        <w:rPr>
          <w:rFonts w:ascii="Calibri" w:hAnsi="Calibri" w:cs="Calibri"/>
          <w:bCs/>
          <w:rtl w:val="true"/>
        </w:rPr>
        <w:t>הנאשם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הצטייד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בנשק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טעון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וביקש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מהנאשמת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שתשמור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עליו</w:t>
      </w:r>
      <w:r>
        <w:rPr>
          <w:rFonts w:cs="Calibri" w:ascii="Calibri" w:hAnsi="Calibri"/>
          <w:bCs/>
          <w:rtl w:val="true"/>
        </w:rPr>
        <w:t xml:space="preserve">. </w:t>
      </w:r>
      <w:r>
        <w:rPr>
          <w:rFonts w:ascii="Calibri" w:hAnsi="Calibri" w:cs="Calibri"/>
          <w:bCs/>
          <w:rtl w:val="true"/>
        </w:rPr>
        <w:t>בנוסף</w:t>
      </w:r>
      <w:r>
        <w:rPr>
          <w:rFonts w:cs="Calibri" w:ascii="Calibri" w:hAnsi="Calibri"/>
          <w:bCs/>
          <w:rtl w:val="true"/>
        </w:rPr>
        <w:t xml:space="preserve">, </w:t>
      </w:r>
      <w:r>
        <w:rPr>
          <w:rFonts w:ascii="Calibri" w:hAnsi="Calibri" w:cs="Calibri"/>
          <w:bCs/>
          <w:rtl w:val="true"/>
        </w:rPr>
        <w:t>נטען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אינטליגנט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 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ליפשיץ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מיכאל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3416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</w:t>
      </w:r>
      <w:r>
        <w:rPr>
          <w:rFonts w:ascii="Calibri" w:hAnsi="Calibri" w:cs="Calibri"/>
          <w:rtl w:val="true"/>
        </w:rPr>
        <w:t>וש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u w:val="single"/>
          </w:rPr>
          <w:t>8041/07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מירילאשווילי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מור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יצחק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2371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7955/06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271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ascii="Calibri" w:hAnsi="Calibri" w:cs="Calibri"/>
          <w:b/>
          <w:b/>
          <w:bCs/>
          <w:rtl w:val="true"/>
        </w:rPr>
        <w:t>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14.9.11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ascii="Calibri" w:hAnsi="Calibri" w:cs="Calibri"/>
          <w:b/>
          <w:b/>
          <w:bCs/>
          <w:rtl w:val="true"/>
        </w:rPr>
        <w:t>דינת 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15148-03-12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ascii="Calibri" w:hAnsi="Calibri" w:cs="Calibri"/>
          <w:b/>
          <w:b/>
          <w:bCs/>
          <w:rtl w:val="true"/>
        </w:rPr>
        <w:t>דינת 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כבהה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19.5.16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 בתוך ה</w:t>
      </w:r>
      <w:r>
        <w:rPr>
          <w:rFonts w:ascii="Calibri" w:hAnsi="Calibri" w:cs="Calibri"/>
          <w:rtl w:val="true"/>
        </w:rPr>
        <w:t>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לציטוט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ליפשיץ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בידיעתה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מיטתה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והכחישה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שכב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 שב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עבד אל כרים סלימאן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בית המשפט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גז </w:t>
      </w:r>
      <w:r>
        <w:rPr>
          <w:rFonts w:ascii="Calibri" w:hAnsi="Calibri" w:cs="Calibri"/>
          <w:rtl w:val="true"/>
        </w:rPr>
        <w:t>שבקושי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והתארס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27277-01-15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ראג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קעדאן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16.9.15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21009-03-15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עאוני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סואעד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15.12.15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3510-06-15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מיכאל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אטדגי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18.11.2015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50950-05-15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16.7.15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לעבירה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ביצוע 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אחסונו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ליפשיץ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ומרצון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 האחרון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קירבתם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8.12.15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31.12.16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39193-12-15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יאסמין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ידאוי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Times New Roman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652628" TargetMode="External"/><Relationship Id="rId21" Type="http://schemas.openxmlformats.org/officeDocument/2006/relationships/hyperlink" Target="http://www.nevo.co.il/case/6104546" TargetMode="External"/><Relationship Id="rId22" Type="http://schemas.openxmlformats.org/officeDocument/2006/relationships/hyperlink" Target="http://www.nevo.co.il/case/6151556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4552738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18814996" TargetMode="External"/><Relationship Id="rId27" Type="http://schemas.openxmlformats.org/officeDocument/2006/relationships/hyperlink" Target="http://www.nevo.co.il/case/20111135" TargetMode="External"/><Relationship Id="rId28" Type="http://schemas.openxmlformats.org/officeDocument/2006/relationships/hyperlink" Target="http://www.nevo.co.il/case/20329180" TargetMode="External"/><Relationship Id="rId29" Type="http://schemas.openxmlformats.org/officeDocument/2006/relationships/hyperlink" Target="http://www.nevo.co.il/case/20313988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2020-04-16T10:49:00Z</dcterms:created>
  <dc:creator> </dc:creator>
  <dc:description/>
  <cp:keywords/>
  <dc:language>en-IL</dc:language>
  <cp:lastModifiedBy>hofit</cp:lastModifiedBy>
  <dcterms:modified xsi:type="dcterms:W3CDTF">2020-04-16T10:49:00Z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יאסמין ג'ידאוי;מוראד ג'ידאוי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5724364;652628;6104546;6151556;5878682;4552738;7791493;18814996;20111135;20329180;20313988</vt:lpwstr>
  </property>
  <property fmtid="{D5CDD505-2E9C-101B-9397-08002B2CF9AE}" pid="9" name="CITY">
    <vt:lpwstr>חי'</vt:lpwstr>
  </property>
  <property fmtid="{D5CDD505-2E9C-101B-9397-08002B2CF9AE}" pid="10" name="DATE">
    <vt:lpwstr>20160605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70301/029;040i;144.a;144.b</vt:lpwstr>
  </property>
  <property fmtid="{D5CDD505-2E9C-101B-9397-08002B2CF9AE}" pid="15" name="LAWYER">
    <vt:lpwstr>שגב אדלר;פארס בריק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39193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390020160605</vt:lpwstr>
  </property>
  <property fmtid="{D5CDD505-2E9C-101B-9397-08002B2CF9AE}" pid="34" name="TYPE_N_DATE">
    <vt:lpwstr>39020160605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