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39341-05-16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עלא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אדין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יחיאל ליפשיץ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אפשטיין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זאבי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עדנאן עלא אדין 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כרים אבו סאלח </w:t>
            </w:r>
            <w:r>
              <w:rPr>
                <w:rFonts w:cs="Arial" w:ascii="Arial" w:hAnsi="Arial"/>
                <w:b/>
                <w:bCs/>
                <w:rtl w:val="true"/>
              </w:rPr>
              <w:br/>
            </w:r>
            <w:r>
              <w:rPr>
                <w:rFonts w:cs="Arial" w:ascii="Arial" w:hAnsi="Arial"/>
                <w:b/>
                <w:bCs/>
              </w:rPr>
              <w:t>3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שריף אבו סאלח </w:t>
            </w:r>
            <w:r>
              <w:rPr>
                <w:rFonts w:cs="Arial" w:ascii="Arial" w:hAnsi="Arial"/>
                <w:b/>
                <w:bCs/>
                <w:rtl w:val="true"/>
              </w:rPr>
              <w:br/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הנאשמים </w:t>
            </w: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ו </w:t>
            </w:r>
            <w:r>
              <w:rPr>
                <w:rFonts w:cs="Arial" w:ascii="Arial" w:hAnsi="Arial"/>
                <w:b/>
                <w:bCs/>
              </w:rPr>
              <w:t>3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באמצעות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ד   </w:t>
            </w:r>
            <w:r>
              <w:rPr>
                <w:rFonts w:cs="Arial" w:ascii="Arial" w:hAnsi="Arial"/>
                <w:b/>
                <w:bCs/>
                <w:rtl w:val="true"/>
              </w:rPr>
              <w:br/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מסאלחה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4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פאדי בשיר 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Cs/>
                <w:rtl w:val="true"/>
              </w:rPr>
              <w:t xml:space="preserve">   </w:t>
            </w:r>
            <w:r>
              <w:rPr>
                <w:b/>
                <w:b/>
                <w:bCs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תלחמי</w:t>
            </w:r>
            <w:r>
              <w:rPr>
                <w:b/>
                <w:bCs/>
                <w:rtl w:val="true"/>
              </w:rPr>
              <w:br/>
            </w:r>
            <w:r>
              <w:rPr>
                <w:rFonts w:cs="Arial" w:ascii="Arial" w:hAnsi="Arial"/>
                <w:b/>
                <w:bCs/>
              </w:rPr>
              <w:t>5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מוחמד אבו סאלח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</w:t>
            </w:r>
            <w:r>
              <w:rPr>
                <w:b/>
                <w:b/>
                <w:bCs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סמארה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6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חוסאם מריסאת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  <w:br/>
            </w:r>
            <w:r>
              <w:rPr>
                <w:b/>
                <w:bCs/>
                <w:rtl w:val="true"/>
              </w:rPr>
              <w:t xml:space="preserve">    </w:t>
            </w:r>
            <w:r>
              <w:rPr>
                <w:b/>
                <w:b/>
                <w:bCs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חטיב</w:t>
            </w:r>
            <w:r>
              <w:rPr>
                <w:b/>
                <w:bCs/>
                <w:rtl w:val="true"/>
              </w:rPr>
              <w:br/>
            </w:r>
            <w:r>
              <w:rPr>
                <w:rFonts w:cs="Arial" w:ascii="Arial" w:hAnsi="Arial"/>
                <w:b/>
                <w:bCs/>
              </w:rPr>
              <w:t>7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עלאא אבו סאלח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IL" w:eastAsia="en-IL"/>
        </w:rPr>
      </w:pPr>
      <w:r>
        <w:rPr>
          <w:rFonts w:ascii="FrankRuehl" w:hAnsi="FrankRuehl" w:cs="FrankRuehl"/>
          <w:rtl w:val="true"/>
          <w:lang w:val="en-IL" w:eastAsia="en-IL"/>
        </w:rPr>
        <w:t>חקיקה שאוזכרה</w:t>
      </w:r>
      <w:r>
        <w:rPr>
          <w:rFonts w:cs="FrankRuehl" w:ascii="FrankRuehl" w:hAnsi="FrankRuehl"/>
          <w:rtl w:val="true"/>
          <w:lang w:val="en-IL" w:eastAsia="en-IL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  <w:lang w:val="en-IL" w:eastAsia="en-IL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שעת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ascii="FrankRuehl" w:hAnsi="FrankRuehl" w:cs="FrankRuehl"/>
            <w:rtl w:val="true"/>
          </w:rPr>
          <w:t>חירום</w:t>
        </w:r>
        <w:r>
          <w:rPr>
            <w:rStyle w:val="Hyperlink"/>
            <w:rFonts w:cs="FrankRuehl" w:ascii="FrankRuehl" w:hAnsi="FrankRuehl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</w:rPr>
          <w:t>1945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  <w:lang w:val="en-IL" w:eastAsia="en-IL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  <w:lang w:val="en-IL" w:eastAsia="en-IL"/>
        </w:rPr>
      </w:pPr>
      <w:r>
        <w:rPr>
          <w:rFonts w:cs="FrankRuehl" w:ascii="FrankRuehl" w:hAnsi="FrankRuehl"/>
          <w:color w:val="0000FF"/>
          <w:u w:val="single"/>
          <w:rtl w:val="true"/>
          <w:lang w:val="en-IL" w:eastAsia="en-IL"/>
        </w:rPr>
      </w:r>
    </w:p>
    <w:p>
      <w:pPr>
        <w:pStyle w:val="Normal"/>
        <w:ind w:end="0"/>
        <w:jc w:val="start"/>
        <w:rPr>
          <w:rFonts w:ascii="FrankRuehl" w:hAnsi="FrankRuehl" w:cs="FrankRuehl"/>
          <w:lang w:val="en-IL" w:eastAsia="en-IL"/>
        </w:rPr>
      </w:pPr>
      <w:r>
        <w:rPr>
          <w:rFonts w:cs="FrankRuehl" w:ascii="FrankRuehl" w:hAnsi="FrankRuehl"/>
          <w:rtl w:val="true"/>
          <w:lang w:val="en-IL" w:eastAsia="en-IL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1945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84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bookmarkStart w:id="7" w:name="PsakDin"/>
            <w:r>
              <w:rPr>
                <w:rFonts w:ascii="Arial" w:hAnsi="Arial" w:cs="Arial"/>
                <w:sz w:val="32"/>
                <w:sz w:val="32"/>
                <w:szCs w:val="32"/>
                <w:rtl w:val="true"/>
              </w:rPr>
              <w:t xml:space="preserve">גזר דין </w:t>
            </w:r>
            <w:bookmarkEnd w:id="7"/>
            <w:r>
              <w:rPr>
                <w:rFonts w:ascii="Arial" w:hAnsi="Arial" w:cs="Arial"/>
                <w:sz w:val="32"/>
                <w:sz w:val="32"/>
                <w:szCs w:val="32"/>
                <w:rtl w:val="true"/>
              </w:rPr>
              <w:t xml:space="preserve">בעניינם של הנאשמים </w:t>
            </w:r>
            <w:r>
              <w:rPr>
                <w:rFonts w:cs="Arial" w:ascii="Arial" w:hAnsi="Arial"/>
                <w:sz w:val="32"/>
                <w:szCs w:val="32"/>
              </w:rPr>
              <w:t>2</w:t>
            </w:r>
            <w:r>
              <w:rPr>
                <w:rFonts w:cs="Arial" w:ascii="Arial" w:hAnsi="Arial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Arial"/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rFonts w:cs="Arial" w:ascii="Arial" w:hAnsi="Arial"/>
                <w:sz w:val="32"/>
                <w:szCs w:val="32"/>
              </w:rPr>
              <w:t>6</w:t>
            </w:r>
            <w:r>
              <w:rPr>
                <w:rFonts w:cs="Arial" w:ascii="Arial" w:hAnsi="Arial"/>
                <w:sz w:val="32"/>
                <w:szCs w:val="32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כללי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bookmarkStart w:id="8" w:name="ABSTRACT_START"/>
      <w:bookmarkEnd w:id="8"/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עפ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הודיית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טווחים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הודיית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פעימות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17.5.16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18.5.16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מטעמי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Calibri" w:ascii="Calibri" w:hAnsi="Calibri"/>
            <w:color w:val="0000FF"/>
            <w:u w:val="single"/>
          </w:rPr>
          <w:t>34130-01-15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וממשיך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סלע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</w:t>
      </w:r>
      <w:hyperlink r:id="rId14">
        <w:r>
          <w:rPr>
            <w:rStyle w:val="Hyperlink"/>
            <w:rFonts w:ascii="Calibri" w:hAnsi="Calibri" w:cs="Calibri"/>
            <w:rtl w:val="true"/>
          </w:rPr>
          <w:t>ת</w:t>
        </w:r>
        <w:r>
          <w:rPr>
            <w:rStyle w:val="Hyperlink"/>
            <w:rFonts w:cs="Calibri" w:ascii="Calibri" w:hAnsi="Calibri"/>
            <w:rtl w:val="true"/>
          </w:rPr>
          <w:t>.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cs="Calibri" w:ascii="Calibri" w:hAnsi="Calibri"/>
            <w:rtl w:val="true"/>
          </w:rPr>
          <w:t xml:space="preserve">. </w:t>
        </w:r>
        <w:r>
          <w:rPr>
            <w:rStyle w:val="Hyperlink"/>
            <w:rFonts w:cs="Calibri" w:ascii="Calibri" w:hAnsi="Calibri"/>
          </w:rPr>
          <w:t>6438-02-15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שרון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נתנאל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ונושאה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התאגדות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במחצית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דאע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הארגון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אציין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מוזכר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מכבר</w:t>
      </w:r>
      <w:r>
        <w:rPr>
          <w:rFonts w:cs="Calibri" w:ascii="Calibri" w:hAnsi="Calibri"/>
          <w:rtl w:val="true"/>
        </w:rPr>
        <w:t>.</w:t>
      </w:r>
      <w:bookmarkStart w:id="9" w:name="ABSTRACT_END"/>
      <w:bookmarkEnd w:id="9"/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סוכם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;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;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;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;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ולגבי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עיקרי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כתב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המתוקן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בפרק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נסקרו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הכרזתו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כהתאחדות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03.9.14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ההכרזה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מכח</w:t>
      </w:r>
      <w:r>
        <w:rPr>
          <w:rFonts w:ascii="Calibri" w:hAnsi="Calibri" w:cs="Calibri"/>
          <w:rtl w:val="true"/>
        </w:rPr>
        <w:t xml:space="preserve"> </w:t>
      </w:r>
      <w:hyperlink r:id="rId15">
        <w:r>
          <w:rPr>
            <w:rStyle w:val="Hyperlink"/>
            <w:rFonts w:ascii="Calibri" w:hAnsi="Calibri" w:cs="Calibri"/>
            <w:rtl w:val="true"/>
          </w:rPr>
          <w:t>תקנות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ההגנה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שעת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חירום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1945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אידיאולוגית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סלפית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יהאדית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האסלאם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יהאד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בכופרים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מוסלמים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השריעה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ביניהן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וישראל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בנצרת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מנדא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2-5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מתגוררים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בסחנין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חנא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וחברם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והמרכזי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ומתייחס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הארגון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נהגו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בתדירות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ולשוחח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לרעיונות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הסלפיה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יהאדיה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ותמיכתם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ברעיונות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חילוקי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בהאת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שהוכרז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כהתאחדות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קאידה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הארגון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עדנאני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נאום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תומכי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כופרים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באזרחים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החליטו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ומצטרפים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במועדים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יוני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נובמבר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בתדירות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הכרזת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כהתאחדות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מותרת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בסביבות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למפגשים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בפייסבוק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מפגשים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שהתקיימו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בשטחים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מבודדים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סכנין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מהמפגשים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מכשירי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הסלולארי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להאזנות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הכרזתו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שוחחו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ההכרזה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ואילך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תמיכתם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בארגון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האידיאולוגיה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הארגון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הארגון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תושבי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להילחם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מחשבות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ולהילחם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הארגון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טורקיה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להצטרף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ללחימה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השלטון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בסוריה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כרטיס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כוונותיו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שיוכלו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הנסיעה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בהדרכת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הלב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למקרה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שיצטרכו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להילחם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30.7.14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לנתב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לסוריה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ויציאתו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בנושאים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כשהאחרונים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יודעים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שיציאתו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במועדים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סרטונים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הארגון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22.8.14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שבבעלות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,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תבערה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משתמשים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וסמלים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המזוהים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הארגון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ענד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המזוהה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פרסומים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לארגון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סמלים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תקנות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+ </w:t>
      </w:r>
      <w:hyperlink r:id="rId17"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+ </w:t>
      </w:r>
      <w:hyperlink r:id="rId18">
        <w:r>
          <w:rPr>
            <w:rStyle w:val="Hyperlink"/>
            <w:rFonts w:cs="Calibri" w:ascii="Calibri" w:hAnsi="Calibri"/>
            <w:color w:val="0000FF"/>
            <w:u w:val="single"/>
          </w:rPr>
          <w:t>85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, </w:t>
      </w:r>
      <w:hyperlink r:id="rId19"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</w:t>
      </w:r>
      <w:hyperlink r:id="rId20">
        <w:r>
          <w:rPr>
            <w:rStyle w:val="Hyperlink"/>
            <w:rFonts w:ascii="Calibri" w:hAnsi="Calibri" w:cs="Calibri"/>
            <w:rtl w:val="true"/>
          </w:rPr>
          <w:t>תקנות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ההגנה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שעת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חירום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1945</w:t>
      </w:r>
      <w:r>
        <w:rPr>
          <w:rFonts w:cs="Calibri" w:ascii="Calibri" w:hAnsi="Calibri"/>
          <w:rtl w:val="true"/>
        </w:rPr>
        <w:t xml:space="preserve"> + 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2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לפעילותו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שתוארה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מחצית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11/14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גמלה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ודרוזים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קידום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מועתז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מועתז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ניקוב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מועתז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לאיברהים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שלעטה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גוסטב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והתעקש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ניקוב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למועתז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 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4">
        <w:r>
          <w:rPr>
            <w:rStyle w:val="Hyperlink"/>
            <w:rFonts w:ascii="Calibri" w:hAnsi="Calibri" w:cs="Calibri"/>
            <w:rtl w:val="true"/>
          </w:rPr>
          <w:t>חוק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+ </w:t>
      </w:r>
      <w:r>
        <w:rPr>
          <w:rFonts w:ascii="Calibri" w:hAnsi="Calibri" w:cs="Calibri"/>
          <w:rtl w:val="true"/>
        </w:rPr>
        <w:t>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תסקירי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המבחן</w:t>
      </w:r>
      <w:r>
        <w:rPr>
          <w:rFonts w:ascii="Calibri" w:hAnsi="Calibri" w:cs="Calibri"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u w:val="single"/>
          <w:rtl w:val="true"/>
        </w:rPr>
        <w:t>התסקיר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בעניינו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2</w:t>
      </w:r>
      <w:r>
        <w:rPr>
          <w:rFonts w:cs="Calibri" w:ascii="Calibri" w:hAnsi="Calibri"/>
          <w:b/>
          <w:bCs/>
          <w:rtl w:val="true"/>
        </w:rPr>
        <w:t xml:space="preserve"> –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בוגר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הריצוף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ונקט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הצטרפותו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לאזרחים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הקונפליקט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הדרוזים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למוסלמים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להפחדה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הצהרותיו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אידיאולוגיות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למניעיו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האידיאולוגיים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שבשילוב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המרכיבים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האידיאולוגיים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מגביר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u w:val="single"/>
          <w:rtl w:val="true"/>
        </w:rPr>
        <w:t>התסקיר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בעניינו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3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–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בוגר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בהיריון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הבעייתי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וחברתית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לקרבתו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אבהית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ומדריכה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הבעייתית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נולד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קיצונית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הכחיש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שפעילותו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שנאסף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באיזוק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מושרשים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בעולמו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הרגשי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בתפקודו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ובהכרה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שהומלץ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שילובו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כותלי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הכלא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u w:val="single"/>
          <w:rtl w:val="true"/>
        </w:rPr>
        <w:t>התסקיר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בעניינו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4</w:t>
      </w:r>
      <w:r>
        <w:rPr>
          <w:rFonts w:cs="Calibri" w:ascii="Calibri" w:hAnsi="Calibri"/>
          <w:b/>
          <w:bCs/>
          <w:rtl w:val="true"/>
        </w:rPr>
        <w:t xml:space="preserve"> –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בוגר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מאורס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בטכניון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לשיפור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באיטליה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מאיטליה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שהצטרף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בסוריה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לארץ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סכנין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סטודנטית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לרפואה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שבועיים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חתונתו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המתוכננת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ארוסתו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פורמלית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באידיאולוגיה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הדומיננטי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במלחמה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הדרגתי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בתשובה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באיטליה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באיטליה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חקירתו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שגורש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מאיטליה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ודחפה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בארגון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קיצוניים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לבטיו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לסוריה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למסקנה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להשקיע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ובעתידו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המקצועי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להתבונן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מעמיקה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פורמלית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שמזערה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בהתנהגותו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מורכבים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באישיותו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נתוניו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החיוביים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והתפתחות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מקצועית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ומנגד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התייחסותו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להתבונן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אותנטית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ומעמיקה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מהפקת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התסקיר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בעניינו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5</w:t>
      </w:r>
      <w:r>
        <w:rPr>
          <w:rFonts w:cs="Calibri" w:ascii="Calibri" w:hAnsi="Calibri"/>
          <w:b/>
          <w:bCs/>
          <w:rtl w:val="true"/>
        </w:rPr>
        <w:t xml:space="preserve"> –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רוקחות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בירדן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ארצה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ובמקביל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לקראת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הבריאות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כחודשיים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התמחותו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ברוקחות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באילת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בבעלות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תכשיטים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ותומכת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נחשף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ולסבל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חצתה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קווים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ופגעה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מנתונים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שהתקבלו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ביקורתית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עמדותיו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הבוגרת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אינטליגנטי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מושרשים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מנגד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לסיטואציות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שליליות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אידיאולוגי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הומלץ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כותלי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הכלא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u w:val="single"/>
          <w:rtl w:val="true"/>
        </w:rPr>
        <w:t>התסקיר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בעניינו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6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בוגר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חנא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הנדסאי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במכללת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סכנין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שיורחב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בסוריה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אידיאולוגיים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ודתיים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ותפיסות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אידיאולוגיות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והחזרתיות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ראיות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המאשימה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לעונש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והתחייבות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בירושלים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826/05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21.7.05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בגינה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 – </w:t>
      </w:r>
      <w:r>
        <w:rPr>
          <w:rFonts w:ascii="Calibri" w:hAnsi="Calibri" w:cs="Calibri"/>
          <w:rtl w:val="true"/>
        </w:rPr>
        <w:t>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שגויים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רק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באתרי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אינטרנט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העוסקים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בינלאומי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באתרים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קאידה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ארגוני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ובהתמודדות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ארגוני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ממשלתיים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האלקטרוני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האתרים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ומטעני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ודיסקים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במקומות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מסתור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שמטרתה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המחצית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לייצר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מאתרי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אינטרנט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שישמשו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ינואר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קאידה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טלפוני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האלקטרוני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אקצא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13.2.05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לארגוני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במלחמתם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להצטרף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ביודעו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שמטרתה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ראייתיים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מחשיפת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חסויות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סגור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ראיות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הנאשמים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לעונש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סאלח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סלאח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התמכרותו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והסתבכויותיו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ובייחוד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היוזמה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וחילצו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ממצוקתה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סלאח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לאופיים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ואישיותיים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ומיטיבה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ניסיונותיו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ניסיונות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חושבים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קיצונית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חינכו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אהבת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הדתות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חאסן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וזכויות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בסכנין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ברוקחות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וסביבותיה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חילוץ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סכנין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בועדת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ממייסדי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העממית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לקונג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מנהל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חינוכית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מרשימה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התנדב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ושמח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לעזר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טיעוני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המאשימה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לעונש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והיבטים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ראייתיים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עותרת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שהיוו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מישורים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בהחלטת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ההצטרפות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מהארגון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מינואר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נובמבר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תדירות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הכרזת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כהתאחדות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מותרת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קיום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קונספירטיבי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ועניינים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שבלב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אקטיביים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האידיאלוגיה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אידיאולוגיה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סלפית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יהאדית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לאידיאולוגיה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אידיאולוגיה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ותושביה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במפגשים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ברצונו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אקטיביים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בארגון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עיכובו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וחקירתו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אזהרה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שידעו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עיכובו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בשחיטת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הבקת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2,3,4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שהיוזמה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הקיצוניות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הסרטונים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ונאשם</w:t>
      </w:r>
      <w:r>
        <w:rPr>
          <w:rFonts w:ascii="Calibri" w:hAnsi="Calibri" w:cs="Calibri"/>
          <w:rtl w:val="true"/>
        </w:rPr>
        <w:t xml:space="preserve"> –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המדגישים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מסוכנותו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כוונתו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לסוריה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והשני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בישראל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מדרגה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מהזדהותו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הארגון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המקסימלי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ההסדר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שיבטא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הסלידה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והצטרף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מוחשי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רעיונות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ונתוניו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שנסקר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ומנסה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ובתושביה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אידיאולוגיה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קיצונית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החוזרים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רצינותו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שכזה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המקסימום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בהפנותה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מתקיימות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מעשיהם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טיעוני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הנאשמים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לעונש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הסתבכותם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הודגש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אזרחי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שאיבדו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ונגררו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סיסמאות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הזדהותם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השגויה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והמוטעית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לידתו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הארגון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שלטונו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ארגוני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מורדים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שפעלו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בסוריה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בארגון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מוסלמים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ליבם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הסיסמאות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לשלטונו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המזוויעים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הארגון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שהצטרפות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הארגון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נרחבת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המחייבת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גדילתם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פשוט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נמוכה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</w:t>
      </w:r>
      <w:r>
        <w:rPr>
          <w:rFonts w:cs="Calibri" w:ascii="Calibri" w:hAnsi="Calibri"/>
          <w:rtl w:val="true"/>
        </w:rPr>
        <w:t>, "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גיבור</w:t>
      </w:r>
      <w:r>
        <w:rPr>
          <w:rFonts w:cs="Calibri" w:ascii="Calibri" w:hAnsi="Calibri"/>
          <w:rtl w:val="true"/>
        </w:rPr>
        <w:t xml:space="preserve">..."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דיבורים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מכוערים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לנדרש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לסוריה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ובוודאי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בפרשות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אחרות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שמימשו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לסוריה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החיוביים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מהתסקיר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וחילץ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המורחבת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ממצוקותיה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לנתוניו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החיוביים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מרשו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מכובדת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משיכתו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באיטליה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מרוחק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ממשפחתו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שהסיטו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ובוודאי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הזוועות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ושאליהן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נחשף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התרחשויות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בסוריה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באזרחיה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מאיטליה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להתחתן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המאורעות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לאזרחי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מלחמת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האזרחים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התנתק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התמחותו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ברוקחות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וחיובית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שתביא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הרוקחות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בהצלחה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יוזמי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בשחיטת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הכבשים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סרטונים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הדרכת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הכנת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התבערה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הארגון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הטווחים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באיזוק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להענישו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בשנית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הקודמת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מגוונת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ומקיפים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תמצית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ומתנצל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מוטעית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הממושכת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וחרטתו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מחדש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u w:val="single"/>
          <w:rtl w:val="true"/>
        </w:rPr>
        <w:t>דיון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ומסקנות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אקדים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ומאוזן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ראייתיות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גישור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26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1958/98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</w:t>
      </w:r>
      <w:r>
        <w:rPr>
          <w:rFonts w:cs="Calibri" w:ascii="Calibri" w:hAnsi="Calibri"/>
          <w:rtl w:val="true"/>
        </w:rPr>
        <w:t>'(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), </w:t>
      </w:r>
      <w:r>
        <w:rPr>
          <w:rFonts w:cs="Calibri" w:ascii="Calibri" w:hAnsi="Calibri"/>
        </w:rPr>
        <w:t>577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בקיומו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רעיונית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האדברסרית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כרסום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27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3068/10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פלונית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1.11.10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ההסתמכות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ציפייה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חותמת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גומי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ונידונו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והמצבים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יאמץ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Arial" w:hAnsi="Arial" w:cs="Arial"/>
        </w:rPr>
      </w:pP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טווחים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טווחים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בטווחים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אינטרסים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נוגדים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לדוגמה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טווחי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שהינו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רלוונטי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מחוץ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למתחם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טווחי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הבדל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מספרי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קיצוני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הטווחים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שהטווחים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מהמתחמים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בפערים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קיצוניים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לסוגיה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("</w:t>
      </w:r>
      <w:r>
        <w:rPr>
          <w:rFonts w:ascii="Calibri" w:hAnsi="Calibri" w:cs="Calibri"/>
          <w:rtl w:val="true"/>
        </w:rPr>
        <w:t>סגור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טווחים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ולדעת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28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4301/15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פינטו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5.1.16</w:t>
      </w:r>
      <w:r>
        <w:rPr>
          <w:rFonts w:cs="Calibri" w:ascii="Calibri" w:hAnsi="Calibri"/>
          <w:rtl w:val="true"/>
        </w:rPr>
        <w:t xml:space="preserve">; </w:t>
      </w:r>
      <w:hyperlink r:id="rId29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6799/14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אופיר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16.3.15</w:t>
      </w:r>
      <w:r>
        <w:rPr>
          <w:rFonts w:cs="Calibri" w:ascii="Calibri" w:hAnsi="Calibri"/>
          <w:rtl w:val="true"/>
        </w:rPr>
        <w:t xml:space="preserve">; </w:t>
      </w:r>
      <w:hyperlink r:id="rId30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227/13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3.12.14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Arial" w:hAnsi="Arial" w:cs="Arial"/>
          <w:rtl w:val="true"/>
        </w:rPr>
        <w:t>בנדון למאמרו של פרופ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אורן גזל – אייל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חריגה ממתחם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ספר דורית ביניש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דעתי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שהובהר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הינה כי באם סבור בית המשפט שההסדר אליו הגיעו הצדדים הינו סביר ובכוונתו לאמצו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נדרש שייקבע מתחם עונש הולם במקרה שכזה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ascii="Arial" w:hAnsi="Arial" w:cs="Arial"/>
          <w:rtl w:val="true"/>
        </w:rPr>
        <w:t>ולגופו של עניין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חולק אודות חומרת מעשי 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בבני חבורה שהצטרפו מרצון לארגון רצחני שלא טורח ולא טרח כבר מתחילת דרכו להסתיר את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ארגון זה מחזיק ב</w:t>
      </w:r>
      <w:r>
        <w:rPr>
          <w:rFonts w:ascii="Calibri" w:hAnsi="Calibri" w:cs="Calibri"/>
          <w:rtl w:val="true"/>
        </w:rPr>
        <w:t>אידיאולוגיה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סלפית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יהאדית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ודוגל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המיידי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בהשמדת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מוסלמית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תפיסתו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השריעה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ואזרחיה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נתתי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בהתאגדות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האסורה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בהתאגדותם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לניסיונותיהם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להכרזת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כהתאחדות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מותרת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דיבורים</w:t>
      </w:r>
      <w:r>
        <w:rPr>
          <w:rFonts w:cs="Calibri" w:ascii="Calibri" w:hAnsi="Calibri"/>
          <w:rtl w:val="true"/>
        </w:rPr>
        <w:t xml:space="preserve">" –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השלטונות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30.7.14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כוונותיו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לכוונותיו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ורובם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בידיו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מבחינה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בשחיטת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בהדרכת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הלב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למקרה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שיצטרכו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להילחם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סרטונים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תבערה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יוזמה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פאסיביים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הזדהות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ומטרותיו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וסמלים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המזוהים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הארגון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בארגונים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דאע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1">
        <w:r>
          <w:rPr>
            <w:rStyle w:val="Hyperlink"/>
            <w:rFonts w:ascii="Calibri" w:hAnsi="Calibri" w:cs="Calibri"/>
            <w:rtl w:val="true"/>
          </w:rPr>
          <w:t>בש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3379/16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2.5.16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למדינת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באתגרים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מקומיים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חמאס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האד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אסלאמי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החזית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העממית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חזבאללה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מריעין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בישין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למדינה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צורך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ביבוא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לשטחה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ארגונים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נוספים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דאע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ש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בבחינת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ונוסף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שונאינו</w:t>
      </w:r>
      <w:r>
        <w:rPr>
          <w:rFonts w:cs="Calibri" w:ascii="Calibri" w:hAnsi="Calibri"/>
          <w:b/>
          <w:bCs/>
          <w:rtl w:val="true"/>
        </w:rPr>
        <w:t xml:space="preserve">". </w:t>
      </w:r>
      <w:r>
        <w:rPr>
          <w:rFonts w:ascii="Calibri" w:hAnsi="Calibri" w:cs="Calibri"/>
          <w:b/>
          <w:b/>
          <w:bCs/>
          <w:rtl w:val="true"/>
        </w:rPr>
        <w:t>כפי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שנזדמן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לומר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בעבר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1088" w:end="426"/>
        <w:jc w:val="both"/>
        <w:rPr/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ייאמר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בקול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וצלול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במצב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הביטחוני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שרויה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יכולה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להרשות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לעצמה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מותרות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התעסקות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דאע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ש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באירופה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המתמודדות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צעירים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הנוסעים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לסוריה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ולעיראק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להילחם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בשורות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הארגון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ידע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לדאע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מתקרבים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ושומר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נפשו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ירחק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עיסוק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בנושא</w:t>
      </w:r>
      <w:r>
        <w:rPr>
          <w:rFonts w:cs="Calibri" w:ascii="Calibri" w:hAnsi="Calibri"/>
          <w:b/>
          <w:bCs/>
          <w:rtl w:val="true"/>
        </w:rPr>
        <w:t>" (</w:t>
      </w:r>
      <w:hyperlink r:id="rId32">
        <w:r>
          <w:rPr>
            <w:rStyle w:val="Hyperlink"/>
            <w:rFonts w:ascii="Calibri" w:hAnsi="Calibri" w:cs="Calibri"/>
            <w:b/>
            <w:b/>
            <w:bCs/>
            <w:rtl w:val="true"/>
          </w:rPr>
          <w:t>בש</w:t>
        </w:r>
        <w:r>
          <w:rPr>
            <w:rStyle w:val="Hyperlink"/>
            <w:rFonts w:cs="Calibri" w:ascii="Calibri" w:hAnsi="Calibri"/>
            <w:b/>
            <w:bCs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</w:rPr>
          <w:t>6539/15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כרים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סאלח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פס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cs="Calibri" w:ascii="Calibri" w:hAnsi="Calibri"/>
          <w:b/>
          <w:bCs/>
        </w:rPr>
        <w:t>15</w:t>
      </w:r>
      <w:r>
        <w:rPr>
          <w:rFonts w:cs="Calibri" w:ascii="Calibri" w:hAnsi="Calibri"/>
          <w:b/>
          <w:bCs/>
          <w:rtl w:val="true"/>
        </w:rPr>
        <w:t xml:space="preserve"> (</w:t>
      </w:r>
      <w:r>
        <w:rPr>
          <w:rFonts w:cs="Calibri" w:ascii="Calibri" w:hAnsi="Calibri"/>
          <w:b/>
          <w:bCs/>
        </w:rPr>
        <w:t>19.10.2015</w:t>
      </w:r>
      <w:r>
        <w:rPr>
          <w:rFonts w:cs="Calibri" w:ascii="Calibri" w:hAnsi="Calibri"/>
          <w:b/>
          <w:bCs/>
          <w:rtl w:val="true"/>
        </w:rPr>
        <w:t>)).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ובקיצור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מתקרבים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נוגעים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בדאע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ש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ארוך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בשיטוט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באינטרנט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באידיאולוגיה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חלילה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בתכנון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ובמעשים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שמיוחס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לעורר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שבפנינו</w:t>
      </w:r>
      <w:r>
        <w:rPr>
          <w:rFonts w:cs="Calibri" w:ascii="Calibri" w:hAnsi="Calibri"/>
          <w:b/>
          <w:bCs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3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2058/14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5.5.14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entury" w:hAnsi="Century" w:cs="Century"/>
          <w:b/>
          <w:b/>
          <w:bCs/>
          <w:rtl w:val="true"/>
        </w:rPr>
        <w:t>אך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בצדק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ציין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בית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המשפט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המחוזי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כי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בגזירת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העונש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יש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ליתן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את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הדעת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לפוטנציאל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הסכנה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הטמון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בעבירות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מסוג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זה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לביטחון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מדינת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ישראל</w:t>
      </w:r>
      <w:r>
        <w:rPr>
          <w:rFonts w:cs="Century" w:ascii="Century" w:hAnsi="Century"/>
          <w:b/>
          <w:bCs/>
          <w:rtl w:val="true"/>
        </w:rPr>
        <w:t xml:space="preserve">, </w:t>
      </w:r>
      <w:r>
        <w:rPr>
          <w:rFonts w:ascii="Century" w:hAnsi="Century" w:cs="Century"/>
          <w:b/>
          <w:b/>
          <w:bCs/>
          <w:rtl w:val="true"/>
        </w:rPr>
        <w:t>המבוצעות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על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רקע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אידיאולוגיה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איסלאמית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קיצונית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וכן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יש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ליתן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את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הדעת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לכך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שבניגוד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לטענת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המערער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האימרה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cs="Century" w:ascii="Century" w:hAnsi="Century"/>
          <w:b/>
          <w:bCs/>
          <w:rtl w:val="true"/>
        </w:rPr>
        <w:t>"</w:t>
      </w:r>
      <w:r>
        <w:rPr>
          <w:rFonts w:ascii="Century" w:hAnsi="Century" w:cs="Century"/>
          <w:b/>
          <w:b/>
          <w:bCs/>
          <w:rtl w:val="true"/>
        </w:rPr>
        <w:t>אויבו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של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אויבך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הוא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חברך</w:t>
      </w:r>
      <w:r>
        <w:rPr>
          <w:rFonts w:cs="Century" w:ascii="Century" w:hAnsi="Century"/>
          <w:b/>
          <w:bCs/>
          <w:rtl w:val="true"/>
        </w:rPr>
        <w:t xml:space="preserve">" </w:t>
      </w:r>
      <w:r>
        <w:rPr>
          <w:rFonts w:ascii="Century" w:hAnsi="Century" w:cs="Century"/>
          <w:b/>
          <w:b/>
          <w:bCs/>
          <w:rtl w:val="true"/>
        </w:rPr>
        <w:t>אינה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מתאימה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כלל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וכלל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לארגון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האיסלמי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הקיצוני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אליו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חבר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המערער</w:t>
      </w:r>
      <w:r>
        <w:rPr>
          <w:rFonts w:cs="Century" w:ascii="Century" w:hAnsi="Century"/>
          <w:b/>
          <w:bCs/>
          <w:rtl w:val="true"/>
        </w:rPr>
        <w:t xml:space="preserve">, </w:t>
      </w:r>
      <w:r>
        <w:rPr>
          <w:rFonts w:ascii="Century" w:hAnsi="Century" w:cs="Century"/>
          <w:b/>
          <w:b/>
          <w:bCs/>
          <w:rtl w:val="true"/>
        </w:rPr>
        <w:t>הגם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שארגון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זה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נלחם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עתה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בצבא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הסורי</w:t>
      </w:r>
      <w:r>
        <w:rPr>
          <w:rFonts w:cs="Century" w:ascii="Century" w:hAnsi="Century"/>
          <w:b/>
          <w:bCs/>
          <w:rtl w:val="true"/>
        </w:rPr>
        <w:t xml:space="preserve">. </w:t>
      </w:r>
      <w:r>
        <w:rPr>
          <w:rFonts w:ascii="Century" w:hAnsi="Century" w:cs="Century"/>
          <w:b/>
          <w:b/>
          <w:bCs/>
          <w:rtl w:val="true"/>
        </w:rPr>
        <w:t>זאת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משום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שהאידיאולוגיה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של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אותו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הארגון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והמטרות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המנחות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אותו</w:t>
      </w:r>
      <w:r>
        <w:rPr>
          <w:rFonts w:cs="Century" w:ascii="Century" w:hAnsi="Century"/>
          <w:b/>
          <w:bCs/>
          <w:rtl w:val="true"/>
        </w:rPr>
        <w:t xml:space="preserve">, </w:t>
      </w:r>
      <w:r>
        <w:rPr>
          <w:rFonts w:ascii="Century" w:hAnsi="Century" w:cs="Century"/>
          <w:b/>
          <w:b/>
          <w:bCs/>
          <w:rtl w:val="true"/>
        </w:rPr>
        <w:t>כמפורט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בכתב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האישום</w:t>
      </w:r>
      <w:r>
        <w:rPr>
          <w:rFonts w:cs="Century" w:ascii="Century" w:hAnsi="Century"/>
          <w:b/>
          <w:bCs/>
          <w:rtl w:val="true"/>
        </w:rPr>
        <w:t xml:space="preserve">, </w:t>
      </w:r>
      <w:r>
        <w:rPr>
          <w:rFonts w:ascii="Century" w:hAnsi="Century" w:cs="Century"/>
          <w:b/>
          <w:b/>
          <w:bCs/>
          <w:rtl w:val="true"/>
        </w:rPr>
        <w:t>הן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אנטי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ישראליות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במובהק</w:t>
      </w:r>
      <w:r>
        <w:rPr>
          <w:rFonts w:cs="Century" w:ascii="Century" w:hAnsi="Century"/>
          <w:b/>
          <w:bCs/>
          <w:rtl w:val="true"/>
        </w:rPr>
        <w:t xml:space="preserve">. </w:t>
      </w:r>
      <w:r>
        <w:rPr>
          <w:rFonts w:ascii="Century" w:hAnsi="Century" w:cs="Century"/>
          <w:b/>
          <w:b/>
          <w:bCs/>
          <w:rtl w:val="true"/>
        </w:rPr>
        <w:t>עבירות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ביטחוניות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מסוג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זה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שעבר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המערער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טומנות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בחובן</w:t>
      </w:r>
      <w:r>
        <w:rPr>
          <w:rFonts w:cs="Century" w:ascii="Century" w:hAnsi="Century"/>
          <w:b/>
          <w:bCs/>
          <w:rtl w:val="true"/>
        </w:rPr>
        <w:t xml:space="preserve">, </w:t>
      </w:r>
      <w:r>
        <w:rPr>
          <w:rFonts w:ascii="Century" w:hAnsi="Century" w:cs="Century"/>
          <w:b/>
          <w:b/>
          <w:bCs/>
          <w:rtl w:val="true"/>
        </w:rPr>
        <w:t>על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כן</w:t>
      </w:r>
      <w:r>
        <w:rPr>
          <w:rFonts w:cs="Century" w:ascii="Century" w:hAnsi="Century"/>
          <w:b/>
          <w:bCs/>
          <w:rtl w:val="true"/>
        </w:rPr>
        <w:t xml:space="preserve">, </w:t>
      </w:r>
      <w:r>
        <w:rPr>
          <w:rFonts w:ascii="Century" w:hAnsi="Century" w:cs="Century"/>
          <w:b/>
          <w:b/>
          <w:bCs/>
          <w:rtl w:val="true"/>
        </w:rPr>
        <w:t>סכנה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ברורה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לביטחון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תושבי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מדינת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ישראל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ומצדיקות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ענישה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ממשית</w:t>
      </w:r>
      <w:r>
        <w:rPr>
          <w:rFonts w:cs="Calibri" w:ascii="Calibri" w:hAnsi="Calibri"/>
          <w:b/>
          <w:bCs/>
          <w:rtl w:val="true"/>
        </w:rPr>
        <w:t>"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לכוונותיו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ניקוב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שגמלה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ודרוזים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מאליה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היכולים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המיידי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לסוריה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המיידית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והקונקרטית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וביחס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נתונים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כוונתו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לסוריה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שיציאתו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השלטונות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הארגון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והכל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מעיניו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באזרחי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הטווחים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מבוגר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בטחוני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מובהק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עמדתי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כעשור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שמטרתה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טרור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איסלאמי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קיצוני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ורצחני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בלבול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נעורים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מדובר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שאוחז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קיצוניות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הטווחים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אימצתי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קרי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המקסימאלי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ומנגד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שקיבלו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חיובית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התעלמתי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ולכוונתו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במחצית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סבורני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פועלו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התמצה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הימצאותו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במפגשים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התמחותו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ברוקחות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הארגון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cs="Calibri"/>
          <w:u w:val="single"/>
          <w:rtl w:val="true"/>
        </w:rPr>
        <w:t>בעניינו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2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27.11.14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בעניינו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3</w:t>
      </w:r>
      <w:r>
        <w:rPr>
          <w:rFonts w:cs="Calibri" w:ascii="Calibri" w:hAnsi="Calibri"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מתאריך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10.12.14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25.4.16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בעניינו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4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8.12.14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בעניינו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5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18.12.14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29.2.16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בעניינו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6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17.12.14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 xml:space="preserve">הנאשמים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ו </w:t>
      </w:r>
      <w:r>
        <w:rPr>
          <w:rFonts w:cs="Arial" w:ascii="Arial" w:hAnsi="Arial"/>
          <w:b/>
          <w:bCs/>
        </w:rPr>
        <w:t>5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אשר מצויים במעצר באיזוק אלק</w:t>
      </w:r>
      <w:r>
        <w:rPr>
          <w:rFonts w:cs="Arial" w:ascii="Arial" w:hAnsi="Arial"/>
          <w:b/>
          <w:bCs/>
          <w:rtl w:val="true"/>
        </w:rPr>
        <w:t xml:space="preserve">', </w:t>
      </w:r>
      <w:r>
        <w:rPr>
          <w:rFonts w:ascii="Arial" w:hAnsi="Arial" w:cs="Arial"/>
          <w:b/>
          <w:b/>
          <w:bCs/>
          <w:rtl w:val="true"/>
        </w:rPr>
        <w:t xml:space="preserve">יתייצבו לריצוי מאסרם בבית מעצר </w:t>
      </w:r>
      <w:r>
        <w:rPr>
          <w:rFonts w:ascii="Arial" w:hAnsi="Arial" w:cs="Arial"/>
          <w:b/>
          <w:b/>
          <w:bCs/>
          <w:rtl w:val="true"/>
        </w:rPr>
        <w:t>גלבוע</w:t>
      </w:r>
      <w:r>
        <w:rPr>
          <w:rFonts w:ascii="Arial" w:hAnsi="Arial" w:cs="Arial"/>
          <w:b/>
          <w:b/>
          <w:bCs/>
          <w:rtl w:val="true"/>
        </w:rPr>
        <w:t xml:space="preserve"> בתאריך </w:t>
      </w:r>
      <w:r>
        <w:rPr>
          <w:rFonts w:cs="Arial" w:ascii="Arial" w:hAnsi="Arial"/>
          <w:b/>
          <w:bCs/>
        </w:rPr>
        <w:t>30</w:t>
      </w:r>
      <w:r>
        <w:rPr>
          <w:rFonts w:cs="Arial" w:ascii="Arial" w:hAnsi="Arial"/>
          <w:b/>
          <w:bCs/>
        </w:rPr>
        <w:t>.9.16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עד השעה </w:t>
      </w:r>
      <w:r>
        <w:rPr>
          <w:rFonts w:cs="Arial" w:ascii="Arial" w:hAnsi="Arial"/>
          <w:b/>
          <w:bCs/>
        </w:rPr>
        <w:t>10:00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על פי החלטת שב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כשברשותם תעודת זהות או דרכון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על הנאשמים לתאם את הכניסה למאסר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כולל האפשרות למיון מוקדם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עם ענף אבחון ומיון של שב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טלפונים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cs="Arial" w:ascii="Arial" w:hAnsi="Arial"/>
          <w:b/>
          <w:bCs/>
        </w:rPr>
        <w:t>08-9787377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08-9787336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לבית המשפט העליון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המזכירות תשלח עותק מגזר הדין לשב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ס וכן ליחידת האיזוק האלק</w:t>
      </w:r>
      <w:r>
        <w:rPr>
          <w:rFonts w:cs="Arial" w:ascii="Arial" w:hAnsi="Arial"/>
          <w:u w:val="single"/>
          <w:rtl w:val="true"/>
        </w:rPr>
        <w:t xml:space="preserve">'.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אלול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יחיאל ליפשיץ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Header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Header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Header"/>
        <w:ind w:end="0"/>
        <w:jc w:val="center"/>
        <w:rPr>
          <w:color w:val="0000FF"/>
          <w:u w:val="single"/>
        </w:rPr>
      </w:pPr>
      <w:hyperlink r:id="rId34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Header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5"/>
      <w:footerReference w:type="default" r:id="rId3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39341-05-16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עדנאן עלא אדין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cs="Times New Roman"/>
      <w:b w:val="false"/>
      <w:bCs w:val="false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2">
    <w:name w:val="פיסקת רשימה"/>
    <w:basedOn w:val="Normal"/>
    <w:qFormat/>
    <w:pPr>
      <w:spacing w:lineRule="auto" w:line="360" w:before="0" w:after="0"/>
      <w:ind w:hanging="0" w:start="720" w:end="0"/>
      <w:contextualSpacing/>
      <w:jc w:val="both"/>
    </w:pPr>
    <w:rPr>
      <w:rFonts w:ascii="Calibri" w:hAnsi="Calibri" w:cs="Calib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3729" TargetMode="External"/><Relationship Id="rId5" Type="http://schemas.openxmlformats.org/officeDocument/2006/relationships/hyperlink" Target="http://www.nevo.co.il/law/73729/84.1.a" TargetMode="External"/><Relationship Id="rId6" Type="http://schemas.openxmlformats.org/officeDocument/2006/relationships/hyperlink" Target="http://www.nevo.co.il/law/73729/84.1.b" TargetMode="External"/><Relationship Id="rId7" Type="http://schemas.openxmlformats.org/officeDocument/2006/relationships/hyperlink" Target="http://www.nevo.co.il/law/73729/85.1.a" TargetMode="External"/><Relationship Id="rId8" Type="http://schemas.openxmlformats.org/officeDocument/2006/relationships/hyperlink" Target="http://www.nevo.co.il/law/73729/85.1.d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case/18823340" TargetMode="External"/><Relationship Id="rId14" Type="http://schemas.openxmlformats.org/officeDocument/2006/relationships/hyperlink" Target="http://www.nevo.co.il/case/20106544" TargetMode="External"/><Relationship Id="rId15" Type="http://schemas.openxmlformats.org/officeDocument/2006/relationships/hyperlink" Target="http://www.nevo.co.il/law/73729" TargetMode="External"/><Relationship Id="rId16" Type="http://schemas.openxmlformats.org/officeDocument/2006/relationships/hyperlink" Target="http://www.nevo.co.il/law/73729/84.1.a" TargetMode="External"/><Relationship Id="rId17" Type="http://schemas.openxmlformats.org/officeDocument/2006/relationships/hyperlink" Target="http://www.nevo.co.il/law/73729/84.1.b" TargetMode="External"/><Relationship Id="rId18" Type="http://schemas.openxmlformats.org/officeDocument/2006/relationships/hyperlink" Target="http://www.nevo.co.il/law/73729/85.1.a" TargetMode="External"/><Relationship Id="rId19" Type="http://schemas.openxmlformats.org/officeDocument/2006/relationships/hyperlink" Target="http://www.nevo.co.il/law/73729/85.1.d" TargetMode="External"/><Relationship Id="rId20" Type="http://schemas.openxmlformats.org/officeDocument/2006/relationships/hyperlink" Target="http://www.nevo.co.il/law/73729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499.a.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case/161892" TargetMode="External"/><Relationship Id="rId27" Type="http://schemas.openxmlformats.org/officeDocument/2006/relationships/hyperlink" Target="http://www.nevo.co.il/case/6244684" TargetMode="External"/><Relationship Id="rId28" Type="http://schemas.openxmlformats.org/officeDocument/2006/relationships/hyperlink" Target="http://www.nevo.co.il/case/20371840" TargetMode="External"/><Relationship Id="rId29" Type="http://schemas.openxmlformats.org/officeDocument/2006/relationships/hyperlink" Target="http://www.nevo.co.il/case/18090623" TargetMode="External"/><Relationship Id="rId30" Type="http://schemas.openxmlformats.org/officeDocument/2006/relationships/hyperlink" Target="http://www.nevo.co.il/case/6244139" TargetMode="External"/><Relationship Id="rId31" Type="http://schemas.openxmlformats.org/officeDocument/2006/relationships/hyperlink" Target="http://www.nevo.co.il/case/21477086" TargetMode="External"/><Relationship Id="rId32" Type="http://schemas.openxmlformats.org/officeDocument/2006/relationships/hyperlink" Target="http://www.nevo.co.il/case/20613542" TargetMode="External"/><Relationship Id="rId33" Type="http://schemas.openxmlformats.org/officeDocument/2006/relationships/hyperlink" Target="http://www.nevo.co.il/case/16913534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2017-05-07T13:28:00Z</dcterms:created>
  <dc:creator> </dc:creator>
  <dc:description/>
  <cp:keywords/>
  <dc:language>en-IL</dc:language>
  <cp:lastModifiedBy>run</cp:lastModifiedBy>
  <cp:lastPrinted>2016-09-08T14:51:00Z</cp:lastPrinted>
  <dcterms:modified xsi:type="dcterms:W3CDTF">2017-05-07T13:28:00Z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עדנאן עלא אדין;כרים אבו סאלח;שריף אבו סאלח;פאדי בשיר;חוסאם מריסאת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18823340;20106544;161892;6244684;20371840;18090623;6244139;21477086;20613542;16913534</vt:lpwstr>
  </property>
  <property fmtid="{D5CDD505-2E9C-101B-9397-08002B2CF9AE}" pid="9" name="CITY">
    <vt:lpwstr>חי'</vt:lpwstr>
  </property>
  <property fmtid="{D5CDD505-2E9C-101B-9397-08002B2CF9AE}" pid="10" name="DATE">
    <vt:lpwstr>20160908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יחיאל ליפשיץ</vt:lpwstr>
  </property>
  <property fmtid="{D5CDD505-2E9C-101B-9397-08002B2CF9AE}" pid="14" name="LAWLISTTMP1">
    <vt:lpwstr>73729/084.1.a;084.1.b;085.1.a;085.1.d</vt:lpwstr>
  </property>
  <property fmtid="{D5CDD505-2E9C-101B-9397-08002B2CF9AE}" pid="15" name="LAWLISTTMP2">
    <vt:lpwstr>70301/029;499.a.1;144.a</vt:lpwstr>
  </property>
  <property fmtid="{D5CDD505-2E9C-101B-9397-08002B2CF9AE}" pid="16" name="LAWYER">
    <vt:lpwstr>אפשטיין זאבי;סמארה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39341</vt:lpwstr>
  </property>
  <property fmtid="{D5CDD505-2E9C-101B-9397-08002B2CF9AE}" pid="23" name="NEWPARTB">
    <vt:lpwstr>05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390020160908</vt:lpwstr>
  </property>
  <property fmtid="{D5CDD505-2E9C-101B-9397-08002B2CF9AE}" pid="35" name="TYPE_N_DATE">
    <vt:lpwstr>39020160908</vt:lpwstr>
  </property>
  <property fmtid="{D5CDD505-2E9C-101B-9397-08002B2CF9AE}" pid="36" name="VOLUME">
    <vt:lpwstr/>
  </property>
  <property fmtid="{D5CDD505-2E9C-101B-9397-08002B2CF9AE}" pid="37" name="WORDNUMPAGES">
    <vt:lpwstr>17</vt:lpwstr>
  </property>
</Properties>
</file>