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5"/>
        <w:gridCol w:w="3827"/>
        <w:gridCol w:w="814"/>
        <w:gridCol w:w="3567"/>
        <w:gridCol w:w="297"/>
      </w:tblGrid>
      <w:tr>
        <w:trPr>
          <w:trHeight w:val="418" w:hRule="exact"/>
        </w:trPr>
        <w:tc>
          <w:tcPr>
            <w:tcW w:w="8523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9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39520-12-21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קעדאן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5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827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50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1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uppressLineNumbers/>
              <w:ind w:hanging="360" w:start="72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איהאב קעדאן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uppressLineNumbers/>
              <w:ind w:hanging="360" w:start="720"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עבד אבו גודה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ורי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שפרלינג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9" w:name="PsakDin"/>
      <w:bookmarkEnd w:id="9"/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בעניין נאשם מס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10" w:name="ABSTRACT_START"/>
      <w:bookmarkEnd w:id="10"/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על פי הודאתו בכתב האישום המתוקן </w:t>
      </w:r>
      <w:r>
        <w:rPr>
          <w:rFonts w:ascii="David" w:hAnsi="David"/>
          <w:rtl w:val="true"/>
        </w:rPr>
        <w:t xml:space="preserve">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hyperlink r:id="rId10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11" w:name="ABSTRACT_END"/>
      <w:bookmarkEnd w:id="11"/>
      <w:r>
        <w:rPr>
          <w:rFonts w:ascii="David" w:hAnsi="David"/>
          <w:rtl w:val="true"/>
        </w:rPr>
        <w:t xml:space="preserve">על פי </w:t>
      </w: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 מוקדמת ויחסי חברות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27.11.21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לשעה </w:t>
      </w:r>
      <w:r>
        <w:rPr>
          <w:rFonts w:cs="David" w:ascii="David" w:hAnsi="David"/>
        </w:rPr>
        <w:t>16:40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נסעו הנאשמים ברכב כשנאשם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לצדו אדם שזהותו אינה ידועה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ובספסל האחורי 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שבים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ושניים נוספים שזהותם אינה ידוע</w:t>
      </w:r>
      <w:r>
        <w:rPr>
          <w:rFonts w:ascii="David" w:hAnsi="David"/>
          <w:rtl w:val="true"/>
        </w:rPr>
        <w:t xml:space="preserve">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הנוספים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נשא והוביל אקדח חצי אוטומטי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טעון במחסנית תואמת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בסיועו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נהג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החמישה ברכב אל רחוב ואדי אל חרובה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בבאקה 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גרביה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 את הרכב בפתאומיות בשולי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 יצא מתוכו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את האקדח והחל לירות ממרחק של מספר מטרים לעבר רכב לבן שנסע אחרי ר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בם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 בבד עם יציאתו של האחר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גם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ולאחריו יצאו מהרכב גם הנוספים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 במהירות לעברו של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אחז בו ומנע המשך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הרכב הלבן נמלט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זמן קצר לאחר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למקום רכבים נוספים ובמקום התפתחה קטטה ששככה כעבור מספר דקות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תוך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לידיו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</w:t>
      </w:r>
      <w:r>
        <w:rPr>
          <w:rFonts w:ascii="David" w:hAnsi="David"/>
          <w:rtl w:val="true"/>
        </w:rPr>
        <w:t xml:space="preserve">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אל כיסא הנהג ברכב ונסע מהמקום כשהוא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ומוביל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הגיעו למקום עמראן גאנם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ואדם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בחלוף</w:t>
      </w:r>
      <w:r>
        <w:rPr>
          <w:rFonts w:ascii="David" w:hAnsi="David"/>
          <w:rtl w:val="true"/>
        </w:rPr>
        <w:t xml:space="preserve"> מספר דקות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 למקום כשהוא נוהג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ומוביל ברשותו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עצר את הרכב בסמוך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ולעמראן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נכנסו לרכב והשלושה נסעו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לשאת ולהוביל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 קצר לאחר מכן נעצרו השלושה על ידי קצין משטרה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להשלמת התמונה יצוין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הודה גם הוא בכתב האישום המתוקן והורשע על פי הודאתו בסיוע לעבירות בנשק לפי </w:t>
      </w:r>
      <w:hyperlink r:id="rId12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hyperlink r:id="rId13">
        <w:r>
          <w:rPr>
            <w:rStyle w:val="Hyperlink"/>
            <w:rFonts w:ascii="David" w:hAnsi="David"/>
            <w:rtl w:val="true"/>
          </w:rPr>
          <w:t>וסעיף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בצרוף </w:t>
      </w:r>
      <w:hyperlink r:id="rId1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בדיון שנערך ביום </w:t>
      </w:r>
      <w:r>
        <w:rPr>
          <w:rFonts w:cs="David" w:ascii="David" w:hAnsi="David"/>
        </w:rPr>
        <w:t>20.7.22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הצדדים הציגו הסדר עונשי 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מצאתי לאמץ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שהוטלו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שישה חודשים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אותם ריצה כימי מעצרו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ומאסר על תנאי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שלא יעבור עבירות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עתרה למתחם ענישה שנע בין </w:t>
      </w:r>
      <w:r>
        <w:rPr>
          <w:rFonts w:cs="David" w:ascii="David" w:hAnsi="David"/>
        </w:rPr>
        <w:t>2-4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וביקשה שעונשו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ימוקם בשליש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ביקשה שיוטל עליו עונש 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שהערכים החברתיים שנפגעו </w:t>
      </w:r>
      <w:r>
        <w:rPr>
          <w:rFonts w:ascii="David" w:hAnsi="David"/>
          <w:rtl w:val="true"/>
        </w:rPr>
        <w:t>מביצוע העבירה</w:t>
      </w:r>
      <w:r>
        <w:rPr>
          <w:rFonts w:ascii="David" w:hAnsi="David"/>
          <w:rtl w:val="true"/>
        </w:rPr>
        <w:t xml:space="preserve"> ה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שלום </w:t>
      </w:r>
      <w:r>
        <w:rPr>
          <w:rFonts w:ascii="David" w:hAnsi="David"/>
          <w:rtl w:val="true"/>
        </w:rPr>
        <w:t>הציבור וביטחונו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הקשורות בביצוע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נטען כי חלקו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עיקרי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הנזק שהיה צפוי מביצוע העבירה היה עלול להיות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וצוין כי דובר בנשיאה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החזקה והובלה של נשק על </w:t>
      </w:r>
      <w:r>
        <w:rPr>
          <w:rFonts w:ascii="David" w:hAnsi="David"/>
          <w:rtl w:val="true"/>
        </w:rPr>
        <w:t>רקע קטטה רבת משתתפים וסכסוך חי שאף כלל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>לא ניתן להצביע על סיבה מסוימת או מניע ייחודי שהביאו את הנאשם לבצע את העבירות המיוחסות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>הנאשם 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מודע היטב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לחומרתם ולהשלכותיהם אך לא נמנע מ</w:t>
      </w:r>
      <w:r>
        <w:rPr>
          <w:rFonts w:ascii="David" w:hAnsi="David"/>
          <w:rtl w:val="true"/>
        </w:rPr>
        <w:t>ביצועם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וצוין כי העבירה בוצע בצוותא חדא עם אחרים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נטען כי חומרא יתרה יש בכך שהעבירות בוצעו </w:t>
      </w:r>
      <w:r>
        <w:rPr>
          <w:rFonts w:ascii="David" w:hAnsi="David"/>
          <w:rtl w:val="true"/>
        </w:rPr>
        <w:t>לאור יום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האקדח טעון כדורים ומוכן לירי מיידי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לפסיקה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דובר בשוהה בלתי חוקי אשר נשא אקדח בשטחי ישראל ונמלט משוטר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</w:t>
      </w:r>
      <w:r>
        <w:rPr>
          <w:rFonts w:ascii="David" w:hAnsi="David"/>
          <w:rtl w:val="true"/>
        </w:rPr>
        <w:t xml:space="preserve">נשיאת נשק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רישא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+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עבירת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בעבירת </w:t>
      </w:r>
      <w:r>
        <w:rPr>
          <w:rFonts w:ascii="David" w:hAnsi="David"/>
          <w:rtl w:val="true"/>
        </w:rPr>
        <w:t>בכניסה ושהייה בישראל בניגוד 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 של הנאשם הוחמר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מפאת אי מיצוי מלוא חומרת הדין בשלב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בין סורג ובריח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קדורה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שם דובר במשיב</w:t>
      </w:r>
      <w:r>
        <w:rPr>
          <w:rFonts w:ascii="David" w:hAnsi="David"/>
          <w:rtl w:val="true"/>
        </w:rPr>
        <w:t xml:space="preserve"> הורשע בעבירה של החזקת נשק –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קיבל את ערעור המדינה ו</w:t>
      </w:r>
      <w:r>
        <w:rPr>
          <w:rFonts w:ascii="David" w:hAnsi="David"/>
          <w:rtl w:val="true"/>
        </w:rPr>
        <w:t xml:space="preserve">החמיר </w:t>
      </w:r>
      <w:r>
        <w:rPr>
          <w:rFonts w:ascii="David" w:hAnsi="David"/>
          <w:rtl w:val="true"/>
        </w:rPr>
        <w:t>את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סלאמה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שם הורשע הנאשם על פי הודאתו בעבירות של החזקת נשק ותקיפת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הורעש בכך שה</w:t>
      </w:r>
      <w:r>
        <w:rPr>
          <w:rFonts w:ascii="David" w:hAnsi="David"/>
          <w:rtl w:val="true"/>
        </w:rPr>
        <w:t>חזיק בחצר ביתו שני תתי מקלע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ריקה ותרמיל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 הנאשם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קיבל את ערעור המדינה וקבע מתחם שנע בין </w:t>
      </w:r>
      <w:r>
        <w:rPr>
          <w:rFonts w:cs="David" w:ascii="David" w:hAnsi="David"/>
        </w:rPr>
        <w:t>24-50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והחמיר</w:t>
      </w:r>
      <w:r>
        <w:rPr>
          <w:rFonts w:ascii="David" w:hAnsi="David"/>
          <w:rtl w:val="true"/>
        </w:rPr>
        <w:t xml:space="preserve"> את עונשו של הנאשם </w:t>
      </w:r>
      <w:r>
        <w:rPr>
          <w:rFonts w:ascii="David" w:hAnsi="David"/>
          <w:rtl w:val="true"/>
        </w:rPr>
        <w:t xml:space="preserve">כך שיעמוד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בידאסה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דובר במשיב</w:t>
      </w:r>
      <w:r>
        <w:rPr>
          <w:rFonts w:ascii="David" w:hAnsi="David"/>
          <w:rtl w:val="true"/>
        </w:rPr>
        <w:t xml:space="preserve"> שהורשע 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</w:t>
      </w:r>
      <w:r>
        <w:rPr>
          <w:rFonts w:ascii="David" w:hAnsi="David"/>
          <w:rtl w:val="true"/>
        </w:rPr>
        <w:t>המשיב</w:t>
      </w:r>
      <w:r>
        <w:rPr>
          <w:rFonts w:ascii="David" w:hAnsi="David"/>
          <w:rtl w:val="true"/>
        </w:rPr>
        <w:t xml:space="preserve"> והאחר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הנשקים ברכב אשר קושט כדי להציג מצג שווא כאילו מדובר ברכב המסיע חתן וכלה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</w:t>
      </w:r>
      <w:r>
        <w:rPr>
          <w:rFonts w:ascii="David" w:hAnsi="David"/>
          <w:rtl w:val="true"/>
        </w:rPr>
        <w:t xml:space="preserve">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במסגרת הסדר טיעון טרם ניהול ההוכחות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קיבל את ערעור המדינה ו</w:t>
      </w:r>
      <w:r>
        <w:rPr>
          <w:rFonts w:ascii="David" w:hAnsi="David"/>
          <w:rtl w:val="true"/>
        </w:rPr>
        <w:t xml:space="preserve">החמיר </w:t>
      </w:r>
      <w:r>
        <w:rPr>
          <w:rFonts w:ascii="David" w:hAnsi="David"/>
          <w:rtl w:val="true"/>
        </w:rPr>
        <w:t>את עונשו של המשיב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24.02.21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שם הורשע המערער בביצוע עבירות נשק 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שנסע יחד עם אחרים ברכב ממנו נורו מספר יריות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המערער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הפעלת עונש מאסר על תנאי בן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דחה את הערעור </w:t>
      </w:r>
      <w:r>
        <w:rPr>
          <w:rFonts w:ascii="David" w:hAnsi="David"/>
          <w:rtl w:val="true"/>
        </w:rPr>
        <w:t>על חומרת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יש לזקוף לזכותו </w:t>
      </w:r>
      <w:r>
        <w:rPr>
          <w:rFonts w:ascii="David" w:hAnsi="David"/>
          <w:rtl w:val="true"/>
        </w:rPr>
        <w:t xml:space="preserve">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העובדה שהודה בכתב האישום המתוקן </w:t>
      </w:r>
      <w:r>
        <w:rPr>
          <w:rFonts w:ascii="David" w:hAnsi="David"/>
          <w:rtl w:val="true"/>
        </w:rPr>
        <w:t>ושאין</w:t>
      </w:r>
      <w:r>
        <w:rPr>
          <w:rFonts w:ascii="David" w:hAnsi="David"/>
          <w:rtl w:val="true"/>
        </w:rPr>
        <w:t xml:space="preserve"> לחובתו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שמתסקיר שירות המבחן שהוגש בעניינו עלה שהוא אינו מביע חרטה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 משל</w:t>
      </w:r>
      <w:r>
        <w:rPr>
          <w:rFonts w:ascii="David" w:hAnsi="David"/>
          <w:rtl w:val="true"/>
        </w:rPr>
        <w:t xml:space="preserve">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המתחם אליו עותרת המאשימה 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מהרכב ומנע המשך הירי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ביקש להסתפק במתחם ענישה </w:t>
      </w:r>
      <w:r>
        <w:rPr>
          <w:rFonts w:ascii="David" w:hAnsi="David"/>
          <w:rtl w:val="true"/>
        </w:rPr>
        <w:t xml:space="preserve">הנע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12-24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ולמקם את 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 התחתון של המתחם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טען שנוכח עקרון אחידות הענישה לא ייתכן שיהיו פערים כה גדולים בעמדת המאשימה ביחס לענישה שראוי להטיל כל אחד מהנאשמים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שכתב האישום תוקן ביחס לשני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בסיס ראיה אובייקטיבית שלא הייתה בידי המאשימה מלכתחילה בשל מחדל בניהול החקירה המשטרתית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הפנה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22029-03-21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אדם אבו שאח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02.06.22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שם דובר בעבירות של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וירי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בקביעת המתחם הייתה התחשבות בעונש שנגזר על נאשם אחר במועד מוקדם יותר נוכח עקרון אחדות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חלקו ותפקידו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באירוע קטן וכי מסרטון מצלמות האבטחה ניתן להבין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דומיננטי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הסנגור הוסיף וטען כי בהודאתו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חסך עדותם של עדי תביעה רבים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טען כי מדובר בתסקיר לקוני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בניגוד לדברי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למעשה הנאשם נטל את האחריות בהתאם למעשים המיוחסים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שהתסקיר אינו מחייב את בית המשפט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 מזה תקופה ארוכה וכי ידוע שתנאי המעצר אינם זהים לתנאי המאסר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כראיות לעונש הוגשו תעודת בגרות והשתלמות טכנית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תלושי שכר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הצטער על מעשיו </w:t>
      </w:r>
      <w:r>
        <w:rPr>
          <w:rFonts w:ascii="David" w:hAnsi="David"/>
          <w:rtl w:val="true"/>
        </w:rPr>
        <w:t>ואמר שפעל מתוך לחץ ולא בכוונה תחילה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בתסקיר שירות המבחן מיום </w:t>
      </w:r>
      <w:r>
        <w:rPr>
          <w:rFonts w:cs="David" w:ascii="David" w:hAnsi="David"/>
        </w:rPr>
        <w:t>26.10.22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שנערך בעניינו של הנאשם לא נכללה המלצה טיפולית ושירות המבחן המליץ על הטלת ענישה מרתיעה בין כותלי הכלא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הוערך קיומו של סיכון להישנות עבירות דומות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בתסקיר תואר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בגרות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בן למשפחה נורמטיבית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סיום לימודיו עבד בעבודות מזדמנות ובחמת החודשים עובר למעצרו עבר בחברת העפר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צוין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בכתב האישום אולם נטל אחריות חלקית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קצינת המבחן התרשמה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תולה את מעשיו בחבריו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תיאר שלא הכיר את האנשים עימם נסע ברכב מלבד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הכחיש שידע שהם מחזיקים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הכחיש שהיה שותף לחילופי הירי או לקטטה שהתפתחה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שבעת האירוע התמודד עם תחושת לחץ ופעל בצורה אימפולסיבית מבלי להפעיל שיקול דעת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אף התייחס להעדר תכנון מוקדם והתייחס למעורבותו באירוע כאקראית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התרשם מחוסר כנות מצד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הביע חרטה על מעשיו ולא הביע חמלה כלפי המעורבים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נכללה התייחסות לכך שהנאשם מתקשה לבחון מעשיו באופן ביקורתי ומתאר את המעשים באופן מצומצם ומניפולטיבי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התרשמות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 באופן מרצה בעיקר מול דמויות סמכות והבע חשש מהתנהלותו במצבים בהם הוא מבקש לבסס מעמדו בקרב קבוצת השווים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חומרתן של עבירות הנשק רבה היא והסיכון הנשקף מהן לחברה הוא עצום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למרבה הצער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אנו חיים בתקופה בה מתרחשים אירועי ירי חדשות לבקרים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לא אחת מסתיימים בפגיעות ברכוש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בגוף ואף בגדיעת חיי 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רבות נכתב על הצורך במדיניות ענישה מחמירה ובלתי מתפשרת בעבירות 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צריכה לשקף את החומרה הרבה שבצידן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 דברים 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לשכוח כי הענישה היא אינדיבידואלי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 xml:space="preserve"> ועל בית המשפט מוטלת החובה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לתפור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בכל מקרה ומקרה חליפת ענישה התואמת את נסיבות העניין ואת מידותיו של הנאשם הספציפי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במקרה זה מעשיו של הנאשם פגעו הערכים החברתיים המוגנים של </w:t>
      </w:r>
      <w:r>
        <w:rPr>
          <w:rFonts w:ascii="David" w:hAnsi="David"/>
          <w:color w:val="000000"/>
          <w:rtl w:val="true"/>
        </w:rPr>
        <w:t>בטחון הפרט והציבור והשמירה על הסדר הציבורי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 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ובהינתן העובדה שנאשם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נשא והוביל נשק שנעשה בו שימוש זמן קצר לפני כן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גם אם לא בידיו וללא גרימת נזק בפועל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מידת הפגיעה בערכים האמורים הייתה בינונית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בנסיבות המקרה נראה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היה מעורב בתכנון מוקדם של האירוע וחלקו באירועי המתואר בכתב האישום אינו דומיננטי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כאשר האחר הוא זה אשר יצא מהרכב ופתח בירי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את העובדה כי בסופו של דבר לא נגרם נזק כתוצאה מהירי שביצע האחר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עוד יש לתת משקל לעקרון אחידות 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המחייב שמירה על יחס מידתי בין עונשים הנגזרים על נאשמים שהואשמו באותן העבירות </w:t>
      </w:r>
      <w:r>
        <w:rPr>
          <w:rFonts w:cs="David" w:ascii="David" w:hAnsi="David"/>
          <w:color w:val="000000"/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יוסף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דלאל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03.09.2015</w:t>
      </w:r>
      <w:r>
        <w:rPr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בשים לב כי לנאשם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יוחסה עבירת סיוע 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ובהינתן העובדה כי לפי כתב האישום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 להפסקת הירי על ידי האחר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ובהתחשב בעונש שנגזר על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 נוכח עמדת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 xml:space="preserve">נסיבות המקרה </w:t>
      </w:r>
      <w:r>
        <w:rPr>
          <w:rFonts w:ascii="David" w:hAnsi="David"/>
          <w:color w:val="000000"/>
          <w:rtl w:val="true"/>
        </w:rPr>
        <w:t xml:space="preserve">הספציפי יש לקבוע מתחם ענישה הנמצא בין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 xml:space="preserve">באשר לגזרת עונשו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נתתי משקל לעובדה כי מדובר בנאשם 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שזוהי הסתבכותו הראשונה עם 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ושעד למקרה זה ניהל אורח חיים 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נתתי משקל להודאתו בכתב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לקיחת האחריות מצידו והחיסכון בזמן השיפוטי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בהתאם לכך מצאתי שיש למקם את עונשו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 התחתון של מתחם העונש ההולם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אשר על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הנני מטיל על הנאשם עונשים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20"/>
        <w:ind w:hanging="357" w:start="1434" w:end="0"/>
        <w:jc w:val="both"/>
        <w:rPr>
          <w:color w:val="000000"/>
        </w:rPr>
      </w:pPr>
      <w:r>
        <w:rPr>
          <w:rFonts w:cs="David" w:ascii="David" w:hAnsi="David"/>
          <w:color w:val="000000"/>
          <w:rtl w:val="true"/>
        </w:rPr>
        <w:t>-</w:t>
      </w:r>
      <w:r>
        <w:rPr>
          <w:color w:val="000000"/>
          <w:sz w:val="12"/>
          <w:szCs w:val="12"/>
          <w:rtl w:val="true"/>
        </w:rPr>
        <w:t xml:space="preserve">         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  <w:color w:val="000000"/>
        </w:rPr>
        <w:t>27.11.21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357" w:start="1434" w:end="0"/>
        <w:jc w:val="both"/>
        <w:rPr>
          <w:color w:val="000000"/>
        </w:rPr>
      </w:pPr>
      <w:r>
        <w:rPr>
          <w:rFonts w:cs="David" w:ascii="David" w:hAnsi="David"/>
          <w:color w:val="000000"/>
          <w:rtl w:val="true"/>
        </w:rPr>
        <w:t>-</w:t>
      </w:r>
      <w:r>
        <w:rPr>
          <w:color w:val="000000"/>
          <w:sz w:val="12"/>
          <w:szCs w:val="12"/>
          <w:rtl w:val="true"/>
        </w:rPr>
        <w:t xml:space="preserve">         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למשך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כאשר התנאי יופעל במידה ויעבור עבירות נשק מסוג פשע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357" w:start="1434" w:end="0"/>
        <w:jc w:val="both"/>
        <w:rPr>
          <w:color w:val="000000"/>
        </w:rPr>
      </w:pPr>
      <w:r>
        <w:rPr>
          <w:rFonts w:cs="David" w:ascii="David" w:hAnsi="David"/>
          <w:color w:val="000000"/>
          <w:rtl w:val="true"/>
        </w:rPr>
        <w:t>-</w:t>
      </w:r>
      <w:r>
        <w:rPr>
          <w:color w:val="000000"/>
          <w:sz w:val="12"/>
          <w:szCs w:val="12"/>
          <w:rtl w:val="true"/>
        </w:rPr>
        <w:t xml:space="preserve">          </w:t>
      </w:r>
      <w:r>
        <w:rPr>
          <w:rFonts w:ascii="David" w:hAnsi="David"/>
          <w:color w:val="000000"/>
          <w:rtl w:val="true"/>
        </w:rPr>
        <w:t xml:space="preserve">קנס של </w:t>
      </w:r>
      <w:r>
        <w:rPr>
          <w:rFonts w:cs="David" w:ascii="David" w:hAnsi="David"/>
          <w:color w:val="000000"/>
        </w:rPr>
        <w:t>5,000</w:t>
      </w:r>
      <w:r>
        <w:rPr>
          <w:rFonts w:cs="David" w:ascii="David" w:hAnsi="David"/>
          <w:color w:val="000000"/>
          <w:rtl w:val="true"/>
        </w:rPr>
        <w:t xml:space="preserve"> ₪, </w:t>
      </w:r>
      <w:r>
        <w:rPr>
          <w:rFonts w:ascii="David" w:hAnsi="David"/>
          <w:color w:val="000000"/>
          <w:rtl w:val="true"/>
        </w:rPr>
        <w:t xml:space="preserve">לתשלום עד ליום </w:t>
      </w:r>
      <w:r>
        <w:rPr>
          <w:rFonts w:cs="David" w:ascii="David" w:hAnsi="David"/>
          <w:color w:val="000000"/>
        </w:rPr>
        <w:t>1.2.23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תוך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39520-12-21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איהאב קעדאן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/>
        <w:bCs/>
      </w:rPr>
    </w:lvl>
  </w:abstractNum>
  <w:abstractNum w:abstractNumId="3">
    <w:lvl w:ilvl="0">
      <w:start w:val="7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bCs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law/90721/12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90721/12.1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case/28513828" TargetMode="External"/><Relationship Id="rId23" Type="http://schemas.openxmlformats.org/officeDocument/2006/relationships/hyperlink" Target="http://www.nevo.co.il/case/28424228" TargetMode="External"/><Relationship Id="rId24" Type="http://schemas.openxmlformats.org/officeDocument/2006/relationships/hyperlink" Target="http://www.nevo.co.il/case/28243273" TargetMode="External"/><Relationship Id="rId25" Type="http://schemas.openxmlformats.org/officeDocument/2006/relationships/hyperlink" Target="http://www.nevo.co.il/case/26905927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case/27462558" TargetMode="External"/><Relationship Id="rId28" Type="http://schemas.openxmlformats.org/officeDocument/2006/relationships/hyperlink" Target="http://www.nevo.co.il/case/2003364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2023-09-28T10:44:00Z</dcterms:created>
  <dc:creator> </dc:creator>
  <dc:description/>
  <cp:keywords/>
  <dc:language>en-IL</dc:language>
  <cp:lastModifiedBy>h1</cp:lastModifiedBy>
  <dcterms:modified xsi:type="dcterms:W3CDTF">2023-09-28T10:44:00Z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איהאב קעדאן;עבד אבו גודה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28883087;28513828;28424228;28243273;26905927;27462558;20033641</vt:lpwstr>
  </property>
  <property fmtid="{D5CDD505-2E9C-101B-9397-08002B2CF9AE}" pid="9" name="CITY">
    <vt:lpwstr>חי'</vt:lpwstr>
  </property>
  <property fmtid="{D5CDD505-2E9C-101B-9397-08002B2CF9AE}" pid="10" name="DATE">
    <vt:lpwstr>20221121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70301/144.a:2;144.b:4;031;275</vt:lpwstr>
  </property>
  <property fmtid="{D5CDD505-2E9C-101B-9397-08002B2CF9AE}" pid="15" name="LAWLISTTMP2">
    <vt:lpwstr>90721/012.1</vt:lpwstr>
  </property>
  <property fmtid="{D5CDD505-2E9C-101B-9397-08002B2CF9AE}" pid="16" name="LAWYER">
    <vt:lpwstr>יוסף ח'ורי;יהלי שפרלינג;מיכאל יפרח 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39520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390020221121</vt:lpwstr>
  </property>
  <property fmtid="{D5CDD505-2E9C-101B-9397-08002B2CF9AE}" pid="35" name="TYPE_N_DATE">
    <vt:lpwstr>39020221121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