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39727-12-20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זאהדה  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firstLine="720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אמין זאהדה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עניינו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הסתיים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עומר זאהדה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נאיל זחאלקה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כתב האישום והרקע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>הנאשם הודה והורשע במסגרת סדר טיעון בכתב אישום מתוקן הכולל שני אישומים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הראשון הורשע בחבלה במזיד ברכב לפי </w:t>
      </w:r>
      <w:hyperlink r:id="rId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413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ה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בצירוף </w:t>
      </w:r>
      <w:hyperlink r:id="rId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החוק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ובאישום השני הורשע בהחזקת נשק לפי </w:t>
      </w:r>
      <w:hyperlink r:id="rId1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לחוק וירי באזור מגורים לפי </w:t>
      </w:r>
      <w:hyperlink r:id="rId11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340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ההסדר לא כלל הסכמה לעניין העונש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bookmarkStart w:id="9" w:name="ABSTRACT_END"/>
      <w:bookmarkEnd w:id="9"/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באישום הראשון נטען כי על רקע בסכסוך כספי בין הנאשם לבין דודו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הנאשמים קשרו קשר עם אחרים להזיק לרכבו של המתלונן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וביום </w:t>
      </w:r>
      <w:r>
        <w:rPr>
          <w:rFonts w:cs="David" w:ascii="David" w:hAnsi="David"/>
          <w:sz w:val="26"/>
          <w:szCs w:val="26"/>
        </w:rPr>
        <w:t>7.11.20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לשעה </w:t>
      </w:r>
      <w:r>
        <w:rPr>
          <w:rFonts w:cs="David" w:ascii="David" w:hAnsi="David"/>
          <w:sz w:val="26"/>
          <w:szCs w:val="26"/>
        </w:rPr>
        <w:t>1:40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בדרך שאינה ידועה במדוייק למאשימה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הרכב ניזוק והוכרז כאובדן גמור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באישום השני מתואר כי ביום </w:t>
      </w:r>
      <w:r>
        <w:rPr>
          <w:rFonts w:cs="David" w:ascii="David" w:hAnsi="David"/>
          <w:sz w:val="26"/>
          <w:szCs w:val="26"/>
        </w:rPr>
        <w:t>31.7.20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הנאשמים החזיקו בבית משפחתם באבו טור כלי נשק דמי רובה סער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המיועד לירי כדוריות פלסטיק שהוסב לירי תחמושת </w:t>
      </w:r>
      <w:r>
        <w:rPr>
          <w:rFonts w:cs="David" w:ascii="David" w:hAnsi="David"/>
          <w:sz w:val="26"/>
          <w:szCs w:val="26"/>
        </w:rPr>
        <w:t>5.56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שיורה ובכוחו להמית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בלי רשיון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בשעה שאינה ידועה הנאשמים ירו ברובה מספר כדורים באוויר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שאף הוא נדון בפני בתיק זה יוחסה באישום הראשון גם עבירה של שיבוש מהלכי 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שלאחר האירוע נשוא האישום הראשון התקשר לשכנו של המתלונן והזהיר אותו שלא לתת למשטרה מצלמות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באישום השני מיוחסות 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גם החזקה של כלי נשק וחלקי נשק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עבירה של איומים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שעל רקע סכסוך עם אשתו התקשר מספר פעמים לאמה של אשתו ואיים עליה שאם לא יאפשרו לו לראות את ילדיהם יפגע בבני משפחתה</w:t>
      </w:r>
      <w:r>
        <w:rPr>
          <w:rFonts w:cs="David" w:ascii="David" w:hAnsi="David"/>
          <w:sz w:val="26"/>
          <w:szCs w:val="26"/>
          <w:rtl w:val="true"/>
        </w:rPr>
        <w:t>, "</w:t>
      </w:r>
      <w:r>
        <w:rPr>
          <w:rFonts w:ascii="David" w:hAnsi="David"/>
          <w:sz w:val="26"/>
          <w:sz w:val="26"/>
          <w:szCs w:val="26"/>
          <w:rtl w:val="true"/>
        </w:rPr>
        <w:t>יחורר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את בני המשפחה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יכנס לכלא בגין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באיומיו הזכיר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כלי נשק שונים שברשותו שבהם יעשה שימוש ופרטים נוספים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כמו כן ניהל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שיחות עם אשתו ועם בני משפחה אחרים וגם בהן איים לפגוע בבני משפחת אשתו אם ימנעו ממנו קשר עם ילדיו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נדון בהסכמת הצדדים לעונש של </w:t>
      </w: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בחזרה לעניינו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הנדון עתה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בפתח הטיעונים לעונש העיד גיסו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העד עובד כמנהל מוסך בחברת 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מתנדב באיחוד הצלה ביחידת האופנועים והאמבולנסים ומדריך חובשים באיחוד הצלה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העיד כי גידל את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חלק גדול מחייו והופתע מהסתבכותו במסלול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לא טוב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>העד הוסיף כי הנאשם מתגורר בביתו בהיותו במעצר בית מספר 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הצטער על מעשיו ולא ימשיך בדרך זו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טענות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ביקשה לקבוע מתחמים שונים לשני האישומים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בנוגע לאישום הראשון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שעניינו קשירת קשר לחבלה שהרסה כליל את רכבו של אחר על רקע סכסוך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ציינה כי הנאשם לא ביצע בעצמו את המעשים אך היה בעל עניין בהם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והנזק ברף גבוה שכן הרכב נהרס כליל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היא ביקשה לקבוע מתחם ענישה בין </w:t>
      </w:r>
      <w:r>
        <w:rPr>
          <w:rFonts w:cs="David" w:ascii="David" w:hAnsi="David"/>
          <w:sz w:val="26"/>
          <w:szCs w:val="26"/>
        </w:rPr>
        <w:t>9-18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 לאישום השני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הכולל החזקת רובה דמוי רובה סער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ושימוש בו לירי ציינה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את פוטנציאל הנזק הנובע מעצם החזקת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ואת תיקון החקיקה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גם אם טרם נכנס לתוקף יש בו כדי להצביע על מגמת ההחמרה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היא ביקשה לקבוע מתחם של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במסגרת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טענה כי הנאשם 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לקח אחריות וחסך זמן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מאידך התסקיר אינו חיובי ומעלה נקודות בעייתיות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לדבריה ראוי היה למקם את הנאשם באמצע המתחם בכל אחד מהאירועים ולקבוע עונשים במצטבר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אולם בהתחשב בעונשו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אשר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בגין עבירות חמורות 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ביקשה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לקבוע עונש בתחתית המתחם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מאחר שמדובר במאסר ראשון ביקשה חפיפה בין העונשים כך שהעונש שיוטל על הנאשם בסך הכל לא יפחת משנתיים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הדגיש בטיעוניו כי החזקת הנשק המיוחסת לנאשם היא קצרה מאד ורגעית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פי כתב האישום ההחזקה מיוחסת לתאריך מסויים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ובאותו יום בוצעה גם עבירת הירי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הוסיף כי הנשק אינו שייך לנאשם ונמצא בביתו של אחיו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הנאשם לא יזם את השגת הנשק ולא פעל לשם 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ירה מתוך סקרנות בנשק שהגיע לפתחו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הסניגור הוסיף כי הפסיקה המחמירה בעבירות הנשק אינה מנטרלת את הצורך לבחון כל אירוע בהתאם לנסיבותיו ולהחיל את עקרונות הענישה האינדבידואלית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לעניין האישום הראשון טען הסניגור כי הנאשם לא השתתף בביצוע המעשים וכי הורשע בנוגע לחבלה ברכב ולא בעבירה הנוספת של שיבוש ההליכים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לטענתו עמדת התביעה מחמירה לעומת הפסיקה הנוהגת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הן במתחמים שנקבעו והן בעונשים שנגזרו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הוסיף כי לאור עקרון אחדות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בהתחשב בעבירות הנוספות והחמורות בהן הורשע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כולל החזקת מספר כלי נשק ואיום בהם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היה מקום להסתפק בעונש של עבודות שירות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ביקש לקבוע מתחם הנע בין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בעבודות שירות לבין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בנוגע לנסיבות שאינן קשורות בביצוע העבירה טען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כי הנאשם נשוי ואב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ילדים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הרשעות קודמות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מעולם לא נחקר במשטרה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הודה בשלב מוקדם וחסך זמן ניכר בשל מורכבות התיק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אחיו המבוגר ממנו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דומיננטי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הרשעות קודמות וריצה מאסרים בעבר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לגבי תסקיר שירות המבחן טען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כי הוא נערך בסיוע מתורגמן כאשר לקצינת המבחן לא היתה היכרות עם הסביבה והמנטליות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לדבריו הוא אף שקל לבקש השלמת התסקיר כדי לקבל המלצה טיפולית אך הנאשם מעוניין לסיים את ההליך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  <w:r>
        <w:rPr>
          <w:rFonts w:ascii="David" w:hAnsi="David"/>
          <w:sz w:val="26"/>
          <w:sz w:val="26"/>
          <w:szCs w:val="26"/>
          <w:rtl w:val="true"/>
        </w:rPr>
        <w:t>הסניגור הפנה לעדות גיסו של הנאשם המצביעה על סיכוי טוב לשיקום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לנאשם אין דפוסי עבריינות מושרשים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וציין כי על אף מעורבותו של אחיו בשימוש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נשמר ולא הסתבך מלבד אירוע חד פעמי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הסניגור ביקש להסתפק בעונש של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עבודות שירות בנוסף לתקופה של כארבעה חודשים בה היה הנאשם במעצר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עצמו הביע צער וחרטה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הביע הכרה בחומרת העבירה ובאחריותו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והוסיף כי חשוב לו לדאוג למשפחתו ולילדיו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שירות המבחן הגיש תסקיר בעניינו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כבן </w:t>
      </w: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נשוי ואב לשניים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מצוי במעצר בית ועובד כקצב בשוק מחנה יהודה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סיים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לימוד ופרש מלימודים בגיל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בשל חוסר עניין בלימודים ובניגוד לעמדת הוריו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החל לעבוד באיטליז המשפחתי ולאחר מכן באיטליז בשוק מחנה יהודה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והצליח בעבודתו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יחסיו עם אשתו ומשפחתו תקינים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שלל שימוש בסמים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לאחר שבבדיקה התגלו שרידי סם אישר כי השתמש בסם מסוג קנאביס אך שלל התמכרות לסם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תיאר את הסכסוך בינו לבין דודו בעקבות עסקת מכירת דירה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רקע סכסוך זה שיתף את אחיו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והאח יחד עם אחרים חיבלו ברכב כאקט של נקמה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לגבי האישום השני הסביר הנאשם כי אחיו הביא לביתו את הרובה וירה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מתוך סקרנות ומאחר שמעולם לא החזיק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לקח גם הוא את הרובה וירה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ביטא חרטה על המעשה הפזיז והבנה של הסיכון שנוצר עקב הירי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קצינת המבחן התרשמה כי על אף שעזב את הלימודים בגיל צעיר הנאשם תפקד באופן יציב במישור התעסוקתי והמשפחתי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הוא נטה לטשטש ולצמצם בעייתיות באורח חייו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חשיפה לחברה שולית ושימוש בסמים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קצינת המבחן לא באה בהמלצה טיפולית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המליצה על ענישה שתשים גבולות ברורים להתנהגותו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לצד עונש מותנה מרתיע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בית המשפט לוקח בחשבון את העובדה שהנאשם הוא מפרנס יחידי למשפחתו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אציין כי על אף העדר המלצה טיפולית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התסקיר נתפס בעיני כחיובי בעיקרו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עולה ממנו שעל אף ההשכלה המצומצמת והקרבה לחברה שולית הנאשם שמר בדרך כלל על אורח חיים תקין ונורמטיבי</w:t>
      </w:r>
      <w:r>
        <w:rPr>
          <w:rFonts w:cs="David" w:ascii="David" w:hAnsi="David"/>
          <w:sz w:val="26"/>
          <w:szCs w:val="26"/>
          <w:rtl w:val="true"/>
        </w:rPr>
        <w:t xml:space="preserve">.     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עבירת הנשק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האישום השני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הערכים המוגנים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 בעבירות של החזקת נשק וירי בשטח בנוי הם שמירה על שלום הציבור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בטחונו ושלמות גופו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החשש שנשק המוחזק שלא כדין עלול להתגלגל לידיים בלתי רצויות ולשמש למעשים אסורים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שיש בהם כדי לפגוע ואף ליטול חיי אדם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עומדת על הצורך בענישה מחמירה בעבירות נשק </w:t>
      </w:r>
      <w:r>
        <w:rPr>
          <w:rFonts w:ascii="Arial" w:hAnsi="Arial" w:cs="Arial"/>
          <w:sz w:val="26"/>
          <w:sz w:val="26"/>
          <w:szCs w:val="26"/>
          <w:rtl w:val="true"/>
        </w:rPr>
        <w:t>ובהטלת עונשי מאסר מרתיעים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ביתר שאית בשנים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התופעה הקשה של אלימות וקיפוח חיי אדם באמצעות כלי נשק בלתי חוקיים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החומרה הרבה שבעבירות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הצורך להחמיר בענישה והכלל של הטלת עונשי מאסר בפועל בדרך כלל עלו בפסקי דין רבים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אציין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ascii="Arial" w:hAnsi="Arial" w:cs="Arial"/>
          <w:sz w:val="26"/>
          <w:sz w:val="26"/>
          <w:szCs w:val="26"/>
          <w:rtl w:val="true"/>
        </w:rPr>
        <w:t>ביניהם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נפעא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4.12.11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6989/13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חנא פרח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25.2.14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4954/13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לאחרונה נפסק ב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6068/21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עניין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פקיה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134" w:end="1134"/>
        <w:jc w:val="both"/>
        <w:rPr/>
      </w:pP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 להדגיש את החומרה היתירה שנודעה לביצוע 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כל סוגיהן ומיניהן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במסגרת פסק הדין ב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4595/13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זובידאת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6.7.2014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קרא למחוקק לשקול את החמרת הענישה בעבירות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בשנת 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תיקן המחוקק את סעיף </w:t>
      </w:r>
      <w:r>
        <w:rPr>
          <w:rFonts w:cs="Arial" w:ascii="Arial" w:hAnsi="Arial"/>
          <w:b/>
          <w:bCs/>
          <w:sz w:val="26"/>
          <w:szCs w:val="26"/>
        </w:rPr>
        <w:t>340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ל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והחמיר את העונש הקבוע בצידה של עבירת ירי מנשק חם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הצעת חוק העונשין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b/>
          <w:bCs/>
          <w:sz w:val="26"/>
          <w:szCs w:val="26"/>
        </w:rPr>
        <w:t>132</w:t>
      </w:r>
      <w:r>
        <w:rPr>
          <w:rFonts w:cs="Arial" w:ascii="Arial" w:hAnsi="Arial"/>
          <w:b/>
          <w:bCs/>
          <w:sz w:val="26"/>
          <w:szCs w:val="26"/>
          <w:rtl w:val="true"/>
        </w:rPr>
        <w:t>)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ירי מנשק חם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 </w:t>
      </w:r>
      <w:r>
        <w:rPr>
          <w:rFonts w:cs="Arial" w:ascii="Arial" w:hAnsi="Arial"/>
          <w:b/>
          <w:bCs/>
          <w:sz w:val="26"/>
          <w:szCs w:val="26"/>
        </w:rPr>
        <w:t>1223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כצעד נוסף למלחמה בתופעת השימוש בנשק ופוטנציאל הנזק הכרוך בכך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134" w:end="1134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לתיקון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משפט זה הדגיש בפסיקתו פעם אחר פעם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עבירות הנשק הפכו לחזון נפרץ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המביא לעיתים מזומנות לפגיעה בחיי חפים מפשע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בהתאם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 מיני רבים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>–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לחוות דעתי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5.11.2019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); 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21.10.2018</w:t>
      </w:r>
      <w:r>
        <w:rPr>
          <w:rFonts w:cs="Arial" w:ascii="Arial" w:hAnsi="Arial"/>
          <w:b/>
          <w:bCs/>
          <w:sz w:val="26"/>
          <w:szCs w:val="26"/>
          <w:rtl w:val="true"/>
        </w:rPr>
        <w:t>))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גישה דומה עולה גם מהפסיקה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המחמירה והולכת בנוגע לעבירות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הפנו למספר פסקי 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אסקור עתה חלק מפסקי הדין שהוזכרו על ידם ופסקי דין נוספים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8320/21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בסילה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28.12.21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המשיב הוביל והחזיק בביתו נשק דמוי רובה סער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וחלקי נשק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החזיקם בביתו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שבועות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פירק וניקה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אף נסיבות מקלות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קיום אורח חיים נורמטיבי והעובדה שמדובר בנשק שהנאשם מצא ולא יזם את החזקתו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עבירות נלוות לעבירות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קיבל ערעור על קולת העונש והעמיד את עונשו של הנאשם על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במקום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בעניין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פקיה</w:t>
      </w:r>
      <w:r>
        <w:rPr>
          <w:rFonts w:ascii="David" w:hAnsi="David"/>
          <w:sz w:val="26"/>
          <w:sz w:val="26"/>
          <w:szCs w:val="26"/>
          <w:rtl w:val="true"/>
        </w:rPr>
        <w:t xml:space="preserve"> הנ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ל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המשיב הורשע בנשיאת נשק וירי במקום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בסמוך לחתונה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לחובתו עבר פלילי מכביד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14-36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עונשו של המשיב הוחמר מ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54607-07-19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יעקוב 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בור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12.1.20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הורשע בהחזקת נשק ואביזרי נשק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של </w:t>
      </w:r>
      <w:r>
        <w:rPr>
          <w:rFonts w:cs="David" w:ascii="David" w:hAnsi="David"/>
          <w:sz w:val="26"/>
          <w:szCs w:val="26"/>
        </w:rPr>
        <w:t>20-30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הנאשם נגזרו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הופעל תנאי בן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מחציתו בחופף ומחציתו במצטבר וכן נגזרו על הנאשם מאסר על תנאי ועונשים כספיים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56762-03-21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רפעת קאצאעי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10.11.21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החזיק ברכב רובה סער מסוג קלצ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ניקוב ומחסנית תואמת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20-30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קנס ופסילת רשיון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66542-05-20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פכרי אבו נאב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25.1.21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הורשע ברכישת 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אקדח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במסגרת הסדר טיעון הוסכם כי הנאשם יטען שהנשק שימוש לצורך הגנה עצמית והמאשימה לא תביא ראיות לסתור זאת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8-24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52515-03-20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מורשד סנדוקה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24.6.20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בהחזקת נשק 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ומאסרים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35512-06-17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קעקאע בכיראת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7.3.19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בשתי עבירות של החזקת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האחד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מאולתר והשני אקדח חצי אוטומטי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שהסליק מתחת לקרוואן המצוי בבית ספר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12-24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עבר פלילי מתון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30340-08-20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עז אלדין אבו סביח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31.1.21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הנאשמים הורשעו בהחזקה ונשיאה של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בנוסף בהחזקת תחמושת וחלקי נשק ובירי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בענייננו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החזיק בנשק מאולתר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הנשק הוא דמוי רובה סער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דהיינו נשק ארוך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הנשק לא היה שייך לנאשם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הוחזק בבית אחיו והנאשם החזיק בו לפרק זמן קצר מאד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על פי כתב האישום מדובר ביום אחד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בפועל נראה שמדובר במספר דקות במשך אותו יום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הנאשם ירה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 נטען כי הירי נעשה למטרה מסויימת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 בחתונה בנוכחות אנשים רבים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כך שנסיבות ביצוע העבירות נוטות ברובן לצד המקל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לאור כל האמור אני קובעת לעבירות הנשק מתחם שבין </w:t>
      </w:r>
      <w:r>
        <w:rPr>
          <w:rFonts w:cs="David" w:ascii="David" w:hAnsi="David"/>
          <w:sz w:val="26"/>
          <w:szCs w:val="26"/>
        </w:rPr>
        <w:t>14-28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עבירת הרכוש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האישום הראשון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הורשע בחבלה במזיד ברכב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שהביאה את הרכב למצב של אבדן מלא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לנאשם מיוחסת קשירת קשר והוא לא ביצע את המעשים בעצמו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הערך המוגן הוא ההגנה על הרכוש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הגנה על הסדר הציבורי ושלטון החוק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בהתחשב בכך שהמעשה בוצע על רקע סכסוך כספי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לצורך גזר דין זה ומבלי לקבוע מסמרות אקבל את מתחם הענישה שהוצע על ידי המאשימה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9-18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נסיבות שאינן קשורות בבצוע העבירה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העונש במסגרת המתחם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הודה במיוחס 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הכיר באחריותו וחסך זמן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מנהל אורח חיים נורמטיבי ואין לו עבר פלילי כלשהו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אף שאין לו השכלה הוא מגלה יציבות תעסוקתית ומשפחתית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נגרר לחברת השוליים הסובבת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התסקיר שהוגש בעניינו מצביע אמנם על קשיים מסויימים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להבנתי מדובר בתסקיר חיובי בעיקרו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גיסו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אדם רב זכויות שהעיד לזכותו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חיזק את הרושם שמדובר במעידה שאינה מאפיינת את אורח חייו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הנאשם היה נתון במעצר ממש כמעט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ולאחר מכן שהה במעצר 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בתנאים שהוקלו עם הזמן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מפרנס יחיד למשפחתו ולשני ילדיו הקטנים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באישום הראשון מיחסת לנאשם אחריות מכח קשירת קשר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מבלי שהיה מעורב ביצוע המעשה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זהות המבצעים בפועל אינה ידועה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הם לא אותרו ולא הועמדו לדין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באישום השני הורשע הנאשם בעבירות נשק כאשר אחיו הוא הדומיננטי גם בביצוע עבירות אלו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לאור כל האמור אני סבורה שהנאשם מצוי בחלקו התחתון של מתחם הענישה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במסגרת עקרון אחדות הענישה יש להביא בחשבון את עונשו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הורשע בעבירות דומות לאלו שהורשע בהן הנאשם שבפני בצד עבירות חמורות בהרבה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גם בעבירת איומים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שכללה איומים קשים וחוזרים בפגיעה פיזית באמצעות נשק על רקע סכסוך גירושין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עבירות הנשק בהן הורשע האח חמורות יותר במידה ניכרת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ולחובתו גם הרשעות קודמות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במסגרת הסדר טיעון שכלל עונש מוסכם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לאור כל האמור אני גוזרת על הנאשם עונשים אלו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71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מאסר בפועל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עבירות הנשק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ועל עבירות הרכוש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מהם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בחופף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במצטבר למאסר על עבירות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בסך הכל ירצה הנאשם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בניכוי ימי מעצרו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71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על כל עבירת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71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על עבירות רכוש שהן פשע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714" w:end="0"/>
        <w:contextualSpacing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שבט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  <w:r>
        <w:rPr>
          <w:rFonts w:ascii="David" w:hAnsi="David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39727-12-20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אמין זאהדה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40a.a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40a.a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8291683" TargetMode="External"/><Relationship Id="rId14" Type="http://schemas.openxmlformats.org/officeDocument/2006/relationships/hyperlink" Target="http://www.nevo.co.il/case/7980162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7915710" TargetMode="External"/><Relationship Id="rId17" Type="http://schemas.openxmlformats.org/officeDocument/2006/relationships/hyperlink" Target="http://www.nevo.co.il/case/76972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5063920" TargetMode="External"/><Relationship Id="rId21" Type="http://schemas.openxmlformats.org/officeDocument/2006/relationships/hyperlink" Target="http://www.nevo.co.il/case/28152132" TargetMode="External"/><Relationship Id="rId22" Type="http://schemas.openxmlformats.org/officeDocument/2006/relationships/hyperlink" Target="http://www.nevo.co.il/case/25890687" TargetMode="External"/><Relationship Id="rId23" Type="http://schemas.openxmlformats.org/officeDocument/2006/relationships/hyperlink" Target="http://www.nevo.co.il/case/27503154" TargetMode="External"/><Relationship Id="rId24" Type="http://schemas.openxmlformats.org/officeDocument/2006/relationships/hyperlink" Target="http://www.nevo.co.il/case/26714559" TargetMode="External"/><Relationship Id="rId25" Type="http://schemas.openxmlformats.org/officeDocument/2006/relationships/hyperlink" Target="http://www.nevo.co.il/case/26568495" TargetMode="External"/><Relationship Id="rId26" Type="http://schemas.openxmlformats.org/officeDocument/2006/relationships/hyperlink" Target="http://www.nevo.co.il/case/22739459" TargetMode="External"/><Relationship Id="rId27" Type="http://schemas.openxmlformats.org/officeDocument/2006/relationships/hyperlink" Target="http://www.nevo.co.il/case/26923758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2023-05-08T09:03:00Z</dcterms:created>
  <dc:creator> </dc:creator>
  <dc:description/>
  <cp:keywords/>
  <dc:language>en-IL</dc:language>
  <cp:lastModifiedBy>h1</cp:lastModifiedBy>
  <dcterms:modified xsi:type="dcterms:W3CDTF">2023-05-08T09:03:00Z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אמין זאהדה;עומר זאהדה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5821327;8291683;7980162;25824863:2;27915710;7697292;25063920;28152132;25890687;27503154;26714559;26568495;22739459;26923758</vt:lpwstr>
  </property>
  <property fmtid="{D5CDD505-2E9C-101B-9397-08002B2CF9AE}" pid="9" name="CITY">
    <vt:lpwstr>י-ם</vt:lpwstr>
  </property>
  <property fmtid="{D5CDD505-2E9C-101B-9397-08002B2CF9AE}" pid="10" name="DATE">
    <vt:lpwstr>20220106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70301/413e;029.b;144.a;340a.a</vt:lpwstr>
  </property>
  <property fmtid="{D5CDD505-2E9C-101B-9397-08002B2CF9AE}" pid="15" name="LAWYER">
    <vt:lpwstr>נאיל זחאלקה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39727</vt:lpwstr>
  </property>
  <property fmtid="{D5CDD505-2E9C-101B-9397-08002B2CF9AE}" pid="22" name="NEWPARTB">
    <vt:lpwstr>12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390020220106</vt:lpwstr>
  </property>
  <property fmtid="{D5CDD505-2E9C-101B-9397-08002B2CF9AE}" pid="34" name="TYPE_N_DATE">
    <vt:lpwstr>39020220106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