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398-09-16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פיודורוב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95"/>
        <w:gridCol w:w="5115"/>
        <w:gridCol w:w="2410"/>
      </w:tblGrid>
      <w:tr>
        <w:trPr>
          <w:trHeight w:val="295" w:hRule="atLeast"/>
        </w:trPr>
        <w:tc>
          <w:tcPr>
            <w:tcW w:w="12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2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קרא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1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נועה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511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52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9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1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דמיטרי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פיודורוב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ניר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זנו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זהבה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קרן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ואסתי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קופולוביץ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האישום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bookmarkStart w:id="8" w:name="ABSTRACT_START"/>
      <w:bookmarkEnd w:id="8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+ </w:t>
      </w:r>
      <w:hyperlink r:id="rId14"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2+1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המתוקן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לאוגוסט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וויליאם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קניסופה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וויליאם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אליאס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נגוסה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10.8.16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11.8.16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הגינה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הפתיע</w:t>
      </w:r>
      <w:r>
        <w:rPr>
          <w:rFonts w:ascii="Calibri" w:hAnsi="Calibri" w:cs="Calibri"/>
          <w:rtl w:val="true"/>
        </w:rPr>
        <w:t>ו אות</w:t>
      </w:r>
      <w:r>
        <w:rPr>
          <w:rFonts w:ascii="Calibri" w:hAnsi="Calibri" w:cs="Calibri"/>
          <w:rtl w:val="true"/>
        </w:rPr>
        <w:t>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לשוֹק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וויליאם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לווילי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ההסדר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.</w:t>
        </w:r>
        <w:r>
          <w:rPr>
            <w:rStyle w:val="Hyperlink"/>
            <w:rFonts w:ascii="David" w:hAnsi="David"/>
            <w:rtl w:val="true"/>
          </w:rPr>
          <w:t>פ</w:t>
        </w:r>
        <w:r>
          <w:rPr>
            <w:rStyle w:val="Hyperlink"/>
            <w:rFonts w:cs="David" w:ascii="David" w:hAnsi="David"/>
            <w:rtl w:val="true"/>
          </w:rPr>
          <w:t xml:space="preserve">. </w:t>
        </w:r>
        <w:r>
          <w:rPr>
            <w:rStyle w:val="Hyperlink"/>
            <w:rFonts w:cs="David" w:ascii="David" w:hAnsi="David"/>
          </w:rPr>
          <w:t>45798-12-11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46507-01-13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יצורפו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ויִידוֹנו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הצירוף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2005-2009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שנת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כגנוב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סתם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לגנוב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בנימוקיו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מפחיתה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מאחריותו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ומאַשָמו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שכּן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להתרחשותם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כסימוכין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hyperlink r:id="rId18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135/17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8.3.2017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40</w:t>
      </w:r>
      <w:r>
        <w:rPr>
          <w:rFonts w:ascii="David" w:hAnsi="David"/>
          <w:rtl w:val="true"/>
        </w:rPr>
        <w:t>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מסכימה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יהוו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הספציפיות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השילוב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שביניהן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לדוגמה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9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6395/12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עודד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עזריאל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2.2.2014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שכּן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סיכומו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והפעלתו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rtl w:val="true"/>
          </w:rPr>
          <w:t>פקודת</w:t>
        </w:r>
        <w:r>
          <w:rPr>
            <w:rStyle w:val="Hyperlink"/>
            <w:rFonts w:ascii="David" w:hAnsi="David"/>
            <w:rtl w:val="true"/>
          </w:rPr>
          <w:t xml:space="preserve"> הראיות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בנימוקים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הימלטות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לחקירה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חשיפת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הבחירה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בבוקר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ותקיפות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להמחשת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בפתרון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ולהמחשת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שנכרכו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מלדרוש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ועבָרוֹ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ההרתעה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האינדיווידואלית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והפרמטרים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rtl w:val="true"/>
          </w:rPr>
          <w:t>חוק</w:t>
        </w:r>
        <w:r>
          <w:rPr>
            <w:rStyle w:val="Hyperlink"/>
            <w:rFonts w:ascii="David" w:hAnsi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טיעוני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כ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cs="David" w:ascii="David" w:hAnsi="David"/>
          <w:u w:val="single"/>
          <w:rtl w:val="true"/>
        </w:rPr>
        <w:t xml:space="preserve">:  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הבאות</w:t>
      </w:r>
      <w:r>
        <w:rPr>
          <w:rFonts w:cs="David" w:ascii="David" w:hAnsi="David"/>
          <w:rtl w:val="true"/>
        </w:rPr>
        <w:t>: 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ציבורית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הבודדת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לוויליאם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ברגלו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בתחבושת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לתפירת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00:54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02:50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משעתיים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שבניגוד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בודדת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התוצאה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וחודשיים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הצירוף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בעשייה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מאוגוסט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כותלי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ולהודות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בבחינת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ועוזב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ירוחם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ניתוחים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ואשפוזים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מתמשכים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u w:val="single"/>
          <w:rtl w:val="true"/>
        </w:rPr>
        <w:t>דברי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cs="David" w:ascii="David" w:hAnsi="David"/>
          <w:u w:val="single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ן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+ </w:t>
      </w:r>
      <w:hyperlink r:id="rId26"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2+1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שיקולים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מנחים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בקביעת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הראוי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הנהוגה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בטיעונו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לביסוס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אִזכר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מחוזית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4119/14</w:t>
        </w:r>
      </w:hyperlink>
      <w:r>
        <w:rPr>
          <w:rFonts w:cs="Calibri" w:ascii="Calibri" w:hAnsi="Calibri"/>
          <w:rtl w:val="true"/>
        </w:rPr>
        <w:t xml:space="preserve"> + </w:t>
      </w:r>
      <w:hyperlink r:id="rId31">
        <w:r>
          <w:rPr>
            <w:rStyle w:val="Hyperlink"/>
            <w:rFonts w:cs="Calibri" w:ascii="Calibri" w:hAnsi="Calibri"/>
            <w:color w:val="0000FF"/>
            <w:u w:val="single"/>
          </w:rPr>
          <w:t>4188/14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הנבוזי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21.9.14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הנבוזי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נפגעת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ואושפזה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ממרפק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6383/12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זוהיר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חאלד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29.9.14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ואשפוז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הודייתו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בעניינו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5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6395/12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עזריאל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1929/12</w:t>
        </w:r>
      </w:hyperlink>
      <w:r>
        <w:rPr>
          <w:rFonts w:cs="Calibri" w:ascii="Calibri" w:hAnsi="Calibri"/>
          <w:rtl w:val="true"/>
        </w:rPr>
        <w:t xml:space="preserve"> + </w:t>
      </w:r>
      <w:r>
        <w:rPr>
          <w:rFonts w:cs="Calibri" w:ascii="Calibri" w:hAnsi="Calibri"/>
        </w:rPr>
        <w:t>1967/12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סעיד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מחאמיד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24.4.12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מחאמיד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ובלב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ואשפוז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שהוחמר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1017/10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אושרי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ועקנין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21.3.10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5762/13</w:t>
        </w:r>
      </w:hyperlink>
      <w:r>
        <w:rPr>
          <w:rFonts w:cs="Calibri" w:ascii="Calibri" w:hAnsi="Calibri"/>
          <w:rtl w:val="true"/>
        </w:rPr>
        <w:t xml:space="preserve"> + </w:t>
      </w:r>
      <w:r>
        <w:rPr>
          <w:rFonts w:cs="Calibri" w:ascii="Calibri" w:hAnsi="Calibri"/>
        </w:rPr>
        <w:t>5802/13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אנואר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פאעור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21.10.14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7360/13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טהאא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13.1.14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2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9232/12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עוואד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28.8.13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קטטה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5-6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בסרעפת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ואשפוז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כאמור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ולחומרא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הביצוע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hyperlink r:id="rId43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6989/13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זילברטל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51" w:end="709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הנובעת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הטמונה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בעיקר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ויוצרות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וביטחונו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ascii="Calibri" w:hAnsi="Calibri" w:cs="Calibri"/>
          <w:b/>
          <w:b/>
          <w:bCs/>
          <w:rtl w:val="true"/>
        </w:rPr>
        <w:t>בהתאם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הנהוגה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ascii="Calibri" w:hAnsi="Calibri" w:cs="Calibri"/>
          <w:b/>
          <w:b/>
          <w:bCs/>
          <w:rtl w:val="true"/>
        </w:rPr>
        <w:t>אמנם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להפחית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מתבטאת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להתרחש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להתרחש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הנבוזי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מחאמיד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דמיון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4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5717/14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גדבאן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2.12.14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הקרקע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למתלונן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יחסי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גדבאן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51" w:end="709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ascii="Calibri" w:hAnsi="Calibri" w:cs="Calibri"/>
          <w:b/>
          <w:b/>
          <w:bCs/>
          <w:rtl w:val="true"/>
        </w:rPr>
        <w:t>לנוכח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ההשלכות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האסון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והנפש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לביטחון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נקיטה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תרחיק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ראו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למשל</w:t>
      </w:r>
      <w:r>
        <w:rPr>
          <w:rFonts w:cs="Calibri" w:ascii="Calibri" w:hAnsi="Calibri"/>
          <w:b/>
          <w:bCs/>
          <w:rtl w:val="true"/>
        </w:rPr>
        <w:t xml:space="preserve">: </w:t>
      </w:r>
      <w:hyperlink r:id="rId45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761/07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22.2.2007</w:t>
      </w:r>
      <w:r>
        <w:rPr>
          <w:rFonts w:cs="Calibri" w:ascii="Calibri" w:hAnsi="Calibri"/>
          <w:b/>
          <w:bCs/>
          <w:rtl w:val="true"/>
        </w:rPr>
        <w:t xml:space="preserve">); </w:t>
      </w:r>
      <w:hyperlink r:id="rId46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4460/11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פאיד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28.11.2011</w:t>
      </w:r>
      <w:r>
        <w:rPr>
          <w:rFonts w:cs="Calibri" w:ascii="Calibri" w:hAnsi="Calibri"/>
          <w:b/>
          <w:bCs/>
          <w:rtl w:val="true"/>
        </w:rPr>
        <w:t xml:space="preserve">); </w:t>
      </w:r>
      <w:hyperlink r:id="rId47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5120/11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שתיווי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18.12.2011</w:t>
      </w:r>
      <w:r>
        <w:rPr>
          <w:rFonts w:cs="Calibri" w:ascii="Calibri" w:hAnsi="Calibri"/>
          <w:b/>
          <w:bCs/>
          <w:rtl w:val="true"/>
        </w:rPr>
        <w:t xml:space="preserve">)). </w:t>
      </w:r>
      <w:r>
        <w:rPr>
          <w:rFonts w:ascii="Calibri" w:hAnsi="Calibri" w:cs="Calibri"/>
          <w:b/>
          <w:b/>
          <w:bCs/>
          <w:rtl w:val="true"/>
        </w:rPr>
        <w:t>עוד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מועצמת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ראו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למשל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cs="Calibri" w:ascii="Calibri" w:hAnsi="Calibri"/>
          <w:b/>
          <w:bCs/>
        </w:rPr>
        <w:t>4038/14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מהראן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עאבד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15.07.2014</w:t>
      </w:r>
      <w:r>
        <w:rPr>
          <w:rFonts w:cs="Calibri" w:ascii="Calibri" w:hAnsi="Calibri"/>
          <w:b/>
          <w:bCs/>
          <w:rtl w:val="true"/>
        </w:rPr>
        <w:t xml:space="preserve">)). </w:t>
      </w:r>
      <w:r>
        <w:rPr>
          <w:rFonts w:ascii="Calibri" w:hAnsi="Calibri" w:cs="Calibri"/>
          <w:b/>
          <w:b/>
          <w:bCs/>
          <w:rtl w:val="true"/>
        </w:rPr>
        <w:t>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ולהיותן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מנוגדות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החרות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מובילות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ולמצער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שיובילו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בזולת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שלפנינו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ראו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והשוו</w:t>
      </w:r>
      <w:r>
        <w:rPr>
          <w:rFonts w:cs="Calibri" w:ascii="Calibri" w:hAnsi="Calibri"/>
          <w:b/>
          <w:bCs/>
          <w:rtl w:val="true"/>
        </w:rPr>
        <w:t xml:space="preserve">: </w:t>
      </w:r>
      <w:hyperlink r:id="rId48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6371/11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אנס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הייבי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לפסק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רובינשטיין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18.12.2011</w:t>
      </w:r>
      <w:r>
        <w:rPr>
          <w:rFonts w:cs="Calibri" w:ascii="Calibri" w:hAnsi="Calibri"/>
          <w:b/>
          <w:bCs/>
          <w:rtl w:val="true"/>
        </w:rPr>
        <w:t>))</w:t>
      </w:r>
      <w:r>
        <w:rPr>
          <w:rFonts w:cs="Calibri" w:ascii="Calibri" w:hAnsi="Calibri"/>
          <w:rtl w:val="true"/>
        </w:rPr>
        <w:t>..." (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מפנה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אַשמו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ספונטני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אקראי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עלוּם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יעד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קביעת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הראוי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הריני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מתפרנס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הנלוזים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מהשפעתם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ההודיה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ישוקללו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נישא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מישורי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דמיטרי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פיודורוב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21.8.16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מסוג 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מלדרוש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אכבדה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398-09-16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דמיטרי פיודורוב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f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0301/335.a.1." TargetMode="External"/><Relationship Id="rId10" Type="http://schemas.openxmlformats.org/officeDocument/2006/relationships/hyperlink" Target="http://www.nevo.co.il/law/70301/335.a.2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0a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1.;335.a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5034715" TargetMode="External"/><Relationship Id="rId18" Type="http://schemas.openxmlformats.org/officeDocument/2006/relationships/hyperlink" Target="http://www.nevo.co.il/case/22006503" TargetMode="External"/><Relationship Id="rId19" Type="http://schemas.openxmlformats.org/officeDocument/2006/relationships/hyperlink" Target="http://www.nevo.co.il/case/5594448" TargetMode="External"/><Relationship Id="rId20" Type="http://schemas.openxmlformats.org/officeDocument/2006/relationships/hyperlink" Target="http://www.nevo.co.il/law/98569/10a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law/70301/40f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333" TargetMode="External"/><Relationship Id="rId26" Type="http://schemas.openxmlformats.org/officeDocument/2006/relationships/hyperlink" Target="http://www.nevo.co.il/law/70301/335.a.1.;335.a.2" TargetMode="External"/><Relationship Id="rId27" Type="http://schemas.openxmlformats.org/officeDocument/2006/relationships/hyperlink" Target="http://www.nevo.co.il/law/70301/329" TargetMode="External"/><Relationship Id="rId28" Type="http://schemas.openxmlformats.org/officeDocument/2006/relationships/hyperlink" Target="http://www.nevo.co.il/law/70301/333" TargetMode="External"/><Relationship Id="rId29" Type="http://schemas.openxmlformats.org/officeDocument/2006/relationships/hyperlink" Target="http://www.nevo.co.il/law/70301/335" TargetMode="External"/><Relationship Id="rId30" Type="http://schemas.openxmlformats.org/officeDocument/2006/relationships/hyperlink" Target="http://www.nevo.co.il/case/16987369" TargetMode="External"/><Relationship Id="rId31" Type="http://schemas.openxmlformats.org/officeDocument/2006/relationships/hyperlink" Target="http://www.nevo.co.il/case/16987369" TargetMode="External"/><Relationship Id="rId32" Type="http://schemas.openxmlformats.org/officeDocument/2006/relationships/hyperlink" Target="http://www.nevo.co.il/case/5590183" TargetMode="External"/><Relationship Id="rId33" Type="http://schemas.openxmlformats.org/officeDocument/2006/relationships/hyperlink" Target="http://www.nevo.co.il/law/70301/333" TargetMode="External"/><Relationship Id="rId34" Type="http://schemas.openxmlformats.org/officeDocument/2006/relationships/hyperlink" Target="http://www.nevo.co.il/law/70301/335" TargetMode="External"/><Relationship Id="rId35" Type="http://schemas.openxmlformats.org/officeDocument/2006/relationships/hyperlink" Target="http://www.nevo.co.il/case/5594448" TargetMode="External"/><Relationship Id="rId36" Type="http://schemas.openxmlformats.org/officeDocument/2006/relationships/hyperlink" Target="http://www.nevo.co.il/case/5571024" TargetMode="External"/><Relationship Id="rId37" Type="http://schemas.openxmlformats.org/officeDocument/2006/relationships/hyperlink" Target="http://www.nevo.co.il/case/5713997" TargetMode="External"/><Relationship Id="rId38" Type="http://schemas.openxmlformats.org/officeDocument/2006/relationships/hyperlink" Target="http://www.nevo.co.il/case/7965143" TargetMode="External"/><Relationship Id="rId39" Type="http://schemas.openxmlformats.org/officeDocument/2006/relationships/hyperlink" Target="http://www.nevo.co.il/law/70301/333" TargetMode="External"/><Relationship Id="rId40" Type="http://schemas.openxmlformats.org/officeDocument/2006/relationships/hyperlink" Target="http://www.nevo.co.il/law/70301/335" TargetMode="External"/><Relationship Id="rId41" Type="http://schemas.openxmlformats.org/officeDocument/2006/relationships/hyperlink" Target="http://www.nevo.co.il/case/8474959" TargetMode="External"/><Relationship Id="rId42" Type="http://schemas.openxmlformats.org/officeDocument/2006/relationships/hyperlink" Target="http://www.nevo.co.il/case/5612296" TargetMode="External"/><Relationship Id="rId43" Type="http://schemas.openxmlformats.org/officeDocument/2006/relationships/hyperlink" Target="http://www.nevo.co.il/case/8291683" TargetMode="External"/><Relationship Id="rId44" Type="http://schemas.openxmlformats.org/officeDocument/2006/relationships/hyperlink" Target="http://www.nevo.co.il/case/17948201" TargetMode="External"/><Relationship Id="rId45" Type="http://schemas.openxmlformats.org/officeDocument/2006/relationships/hyperlink" Target="http://www.nevo.co.il/case/5724364" TargetMode="External"/><Relationship Id="rId46" Type="http://schemas.openxmlformats.org/officeDocument/2006/relationships/hyperlink" Target="http://www.nevo.co.il/case/5958231" TargetMode="External"/><Relationship Id="rId47" Type="http://schemas.openxmlformats.org/officeDocument/2006/relationships/hyperlink" Target="http://www.nevo.co.il/case/5995135" TargetMode="External"/><Relationship Id="rId48" Type="http://schemas.openxmlformats.org/officeDocument/2006/relationships/hyperlink" Target="http://www.nevo.co.il/case/5594385" TargetMode="External"/><Relationship Id="rId49" Type="http://schemas.openxmlformats.org/officeDocument/2006/relationships/hyperlink" Target="http://www.nevo.co.il/law/70301/40i.a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2018-02-27T11:44:00Z</dcterms:created>
  <dc:creator> </dc:creator>
  <dc:description/>
  <cp:keywords/>
  <dc:language>en-IL</dc:language>
  <cp:lastModifiedBy>run</cp:lastModifiedBy>
  <dcterms:modified xsi:type="dcterms:W3CDTF">2018-02-27T11:44:00Z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דמיטרי פיודורוב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5034715;22006503;5594448:2;16987369:2;5590183;5571024;5713997;7965143;8474959;5612296;8291683;17948201;5724364;5958231;5995135;5594385</vt:lpwstr>
  </property>
  <property fmtid="{D5CDD505-2E9C-101B-9397-08002B2CF9AE}" pid="9" name="CITY">
    <vt:lpwstr>ת"א</vt:lpwstr>
  </property>
  <property fmtid="{D5CDD505-2E9C-101B-9397-08002B2CF9AE}" pid="10" name="DATE">
    <vt:lpwstr>20170405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ג'ורג' קרא</vt:lpwstr>
  </property>
  <property fmtid="{D5CDD505-2E9C-101B-9397-08002B2CF9AE}" pid="14" name="LAWLISTTMP1">
    <vt:lpwstr>70301/333:5;335.a.1:2;335.a.2:2;144.b:2;040f;329;335:3;040i.a</vt:lpwstr>
  </property>
  <property fmtid="{D5CDD505-2E9C-101B-9397-08002B2CF9AE}" pid="15" name="LAWLISTTMP2">
    <vt:lpwstr>98569/010a</vt:lpwstr>
  </property>
  <property fmtid="{D5CDD505-2E9C-101B-9397-08002B2CF9AE}" pid="16" name="LAWYER">
    <vt:lpwstr>נועה בר;ניר זנו;זהבה קרן ;אסתי קופולוביץ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398</vt:lpwstr>
  </property>
  <property fmtid="{D5CDD505-2E9C-101B-9397-08002B2CF9AE}" pid="23" name="NEWPARTB">
    <vt:lpwstr>09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390020170405</vt:lpwstr>
  </property>
  <property fmtid="{D5CDD505-2E9C-101B-9397-08002B2CF9AE}" pid="35" name="TYPE_N_DATE">
    <vt:lpwstr>39020170405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