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2"/>
                <w:szCs w:val="2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לחיאני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שהם</w:t>
            </w:r>
          </w:p>
        </w:tc>
        <w:tc>
          <w:tcPr>
            <w:tcW w:w="36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hanging="720" w:start="720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hanging="720" w:start="720" w:end="0"/>
              <w:jc w:val="end"/>
              <w:rPr>
                <w:b/>
                <w:bCs/>
                <w:sz w:val="26"/>
                <w:szCs w:val="26"/>
              </w:rPr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39831-02-22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26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4"/>
        <w:gridCol w:w="5922"/>
      </w:tblGrid>
      <w:tr>
        <w:trPr>
          <w:trHeight w:val="724" w:hRule="atLeast"/>
          <w:cantSplit w:val="true"/>
        </w:trPr>
        <w:tc>
          <w:tcPr>
            <w:tcW w:w="2604" w:type="dxa"/>
            <w:tcBorders/>
          </w:tcPr>
          <w:p>
            <w:pPr>
              <w:pStyle w:val="Normal"/>
              <w:spacing w:lineRule="auto" w:line="276"/>
              <w:ind w:start="26" w:end="0"/>
              <w:jc w:val="start"/>
              <w:rPr/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רחלי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אטיאס</w:t>
            </w:r>
          </w:p>
        </w:tc>
      </w:tr>
      <w:tr>
        <w:trPr/>
        <w:tc>
          <w:tcPr>
            <w:tcW w:w="8526" w:type="dxa"/>
            <w:gridSpan w:val="2"/>
            <w:tcBorders/>
            <w:vAlign w:val="center"/>
          </w:tcPr>
          <w:p>
            <w:pPr>
              <w:pStyle w:val="Normal"/>
              <w:snapToGrid w:val="false"/>
              <w:spacing w:lineRule="auto" w:line="276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spacing w:lineRule="auto" w:line="276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276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קרינאת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אלכס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גאוסקין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18"/>
          <w:szCs w:val="18"/>
        </w:rPr>
      </w:pPr>
      <w:r>
        <w:rPr>
          <w:rFonts w:cs="FrankRuehl" w:ascii="FrankRuehl" w:hAnsi="FrankRuehl"/>
          <w:sz w:val="18"/>
          <w:szCs w:val="1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tbl>
      <w:tblPr>
        <w:bidiVisual w:val="true"/>
        <w:tblW w:w="83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1"/>
      </w:tblGrid>
      <w:tr>
        <w:trPr>
          <w:trHeight w:val="355" w:hRule="atLeast"/>
        </w:trPr>
        <w:tc>
          <w:tcPr>
            <w:tcW w:w="8361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כתב אישום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והורשע במסגרת הסדר טיעון 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רישא ל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1977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338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1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נהיגה בשכרות לפי </w:t>
      </w:r>
      <w:hyperlink r:id="rId18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62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cs="David" w:ascii="David" w:hAnsi="David"/>
            <w:b/>
            <w:bCs/>
          </w:rPr>
          <w:t>3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נוסח חדש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תשכ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1961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פקודת התעבורה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ונהיגה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10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לפקודת התעבורה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מכתב האישום המתוקן עולה כי עובר ליום </w:t>
      </w:r>
      <w:r>
        <w:rPr>
          <w:rFonts w:cs="David" w:ascii="David" w:hAnsi="David"/>
        </w:rPr>
        <w:t>31/01/22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החזיק ברשותו תת מקלע מאולתר ואקדח חצי אוטומטי אשר יורים ובכוחם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עולה כי סמוך לפני יום </w:t>
      </w:r>
      <w:r>
        <w:rPr>
          <w:rFonts w:cs="David" w:ascii="David" w:hAnsi="David"/>
        </w:rPr>
        <w:t>01/02/22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01:25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שתה הנאשם משקאות אלכוהוליים ובעודו שיכור נהג בכביש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 מוביל את הנשקים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הורד מהכביש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וכשברכב נמצא נוסע נוסף במושב שליד הנהג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 כשהנאשם אף ללא רישיון נהיגה תקף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סימן שוטר לנאשם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המשיך לנסוע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שהגביר את מהירות 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ועבר מנתיב לנתיב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 עת ניידת משטרה שהאורות הכחולים שלה דולקים נוסעת אחריו וכורזת לו לעצור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משהגיע הנאשם לצומת מרומזר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חצה הנאשם את הצומת על אף רמזור אדום שדלק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לכיוון שבט אבו קרינאת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כיבה את אורות הרכב והמשיך בנסיעה מהירה בשטח עפר עד אשר עצר את הרכב והמשיך בבריחה רגלית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אוחז בידיו את הנשקים והאחר בורח עמו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רק לאחר מרדף נעצר הנאשם על ידי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08/06/22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הוצג הסדר טיעון במסגרתו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והורשע הנאשם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מבלי שהוצגו הסכמות לשאלת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בטרם טיעון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הנאשם לקבלת תסקיר מטעם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לא התנגדה להפניית הנאשם לקבלת תסקיר אך הבהירה כי איננה מחויבת להמלצתו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מתסקיר שירות המבחן עולה 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 המתגורר בישוב לא מוכר בנגב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נשר בגיל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ממסגרת חינוכית ומאז עבד במקומות שונים בתחום עבודות העפר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לנאשם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פליליות והן מתחום התעבורה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היה תחת השפעת אלכוהול ועל כן איננו זוכר את האירוע בבהירות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ידע לומר כי הוביל את הנשקים לאחר שהוצע לו כסף תמורת המעשה על ידי מכר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טרם מעצרו החל בהליך הוצאת רישיון ועבר את מבחן התיאוריה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מבין את חומרת מעשה הובלת הנשק שיכול היה להוביל לפגיעה באחר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באשר לשתיית אלכוהול שיתף כי מגיל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עושה שימוש באלכוהול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בתחילה בשל מניעים חברתיים אך בהדרגה פיתח תלות בשתייה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כי תחת השפעת אלכוהול לא מצליח להפעיל שיקול דעת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בחודשים שלפני המעצר חלה התדרדרות במצבו ההתמכרותי והוא תיאר שנהג לשתות לאורך כל שעות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להשתלב בטיפול ייעודי בתחום ההתמכרות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שהשתלב בהליך טיפולי בבית הסוהר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מדיווח גורמי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עולה כי הנאשם נשמע לכללים ומנהל סדר יום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משולב בקבוצות טיפוליות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לוקח בהן חלק פעיל ומשתף מעולמו הפנימי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לצד טיפול פרטני אחת לשבוע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עמדת הנאשם והבעת המוטיבציה מצדו לטיפול במסגרת קהילה טיפולית סגורה – הופנה הנאשם לראיון קבלה לקהילה טיפולית ונמצא מתאים לטיפול בקהילה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למפורט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התרשמות שירות המבחן מהבנה לגבי מצבו ומשאיפות נורמטיביות ולאחר שהתרשם אף מהערב המגבה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המליץ שירות המבחן לאפשר שילוב הנאשם בקהילה 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בהחלטתי מיום </w:t>
      </w:r>
      <w:r>
        <w:rPr>
          <w:rFonts w:cs="David" w:ascii="David" w:hAnsi="David"/>
        </w:rPr>
        <w:t>30/10/22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קבעתי כי אין מקום לאמץ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בשים לב לחומרת העבירות בנסיבות ביצוען ובשים לב אף לעברו הפלילי והתעבורתי של הנאשם אשר מעידים על כך שלא ניתן לאיין מסוכנותו ולשחררו לחלופת 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ערר אשר הוגש על החלטה זו נדחה </w:t>
      </w:r>
      <w:r>
        <w:rPr>
          <w:rFonts w:cs="David" w:ascii="David" w:hAnsi="David"/>
          <w:rtl w:val="true"/>
        </w:rPr>
        <w:t>[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7622/22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איברהים אבו קרינאת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16/11/22</w:t>
      </w:r>
      <w:r>
        <w:rPr>
          <w:rFonts w:cs="David" w:ascii="David" w:hAnsi="David"/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המאשימה הפנתה בטיעוניה הכתובים לעונש לחומרת העבירות עליהן נותן הנאשם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ובייחוד לעבירות הנשק אשר להן פוטנציאל פגיעה גבוה ושמחייבים ענישה 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ולערכים המוגנים אשר נפגעו כתוצאה מביצוען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השמירה על שלום הציבור וביטחונו ושמירה על גופו וחייו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פגיעה בביטחון וברכושם של אנשי מערכת אכיפת החוק והשמירה על שלטון החוק והסדר הציבורי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הפגיעה בערכים המוגנים היא ברף גבוה עד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בשים לב לנסיבות ביצוע העבירות אשר כוללות לא רק הובלה של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 נשקים בעלי פוטנציאל קטלני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אף תוך נהיגה בשכרות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ללא רישיון נהיגה ובאופן מסכן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 כלפי משתמשי הדרך והן כלפי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ולפוטנציאל הנזק הנובע אף 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המאשימה הפנתה לפסיקה באשר 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מהווה אך רכיב אחד בקביעת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וטענה כי בהתאם לפסיקה ובשים לב לתיקון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יש להחמיר בענישה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לאור המפורט עתרה המאשימה ל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52-72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אשר לקביעת עונשו של הנאשם בגדרי המתחם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עתרה </w:t>
      </w:r>
      <w:r>
        <w:rPr>
          <w:rFonts w:ascii="David" w:hAnsi="David"/>
          <w:rtl w:val="true"/>
        </w:rPr>
        <w:t>המאשימה למקם את הנאשם בחלקו האמצעי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הטלת 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ממושכת ומרתיעה במצטבר לכל פסילה אחרת שהוטלה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מותנית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וקנס גבוה ומרתיע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בטיעוניה הפנתה להיות הנאשם מבצע 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ולפוטנציאל הנזק הנובע הן מנהיגתו הפרועה והן מעבירות נשיאת והובלת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לעברו הפלילי והתעבורתי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בגין עבירות דומות אשר בעטיין אף ריצה בעבר עונשי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לכל זה ביקשה להוסיף את שיקולי הרתעת היחיד והרבים שיש להביאם בחשבון במקרה דנן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על אף הנסיבות המחמירות של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שהבולטת שבהן היא ביצוע 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שעולה אף מהחלטת בית משפט זה ומהחלטת בית המשפט העליון בערר אשר הוגש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במקרה זה אף נסיבות מקלות אשר מובילות לכך שאין מדובר בעבירות נשק שהן מהחמורות – ובהן העובדה כי הנשקים לא היו טעונים ולא הייתה לצדם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כי האירוע בוצע מחוץ לאזור עירוני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בשעת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ובכביש שלא היה עמוס במכוניות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לפסיקה אשר הוגשה על ידו ועל 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רובם חמורים יותר ממקרה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שיש לקבוע כי תחתית מתחם העונש ההולם צריך להיקבע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עונשו של הנאשם טען בא כוחו כי יש להתחשב בגילו של הנאשם ובנסיבותיו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ובעיקר בעובדה כי מגיל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 תחת השפעת אלכוהול באופן שהוביל לביצוע עבירות התעבורה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כיום מביע מוטיבציה גבוהה לשנות מאורחות חייו ועל כן אף השתלב בטיפול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כי עברו הפלילי של הנאשם איננו מכביד מאחר ואיננו רלוונטי לעבירות עליהן נותן הנאשם את הדין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ראוי שבית המשפט יעודד בגזירת עונשו את הנאשם בכך שיראה לו כי קיים אור בקצה המנהרה באם יתמיד בהליך השיקום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במקרה זה יש לחרוג ממתחם העונש ההולם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הטלת המאסר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הסיכוי הממשי לשיקום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למוטיבציה הרבה והכנה שהביע לעניין ההשתלבות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שהתרשמו הן שירות המבחן והן מותב זה ובית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לעובדה כי שולב בהליך טיפולי במסגרת בית הכלא והיה מוכן אף להשתלב בקהילה סגורה ביודעו כי זה לא ימנע מאסרו בהמשך במסגרת גזירת 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במעמד הטיעונים לעונש טען הנאשם כי מקבל על עצמו את הדין וכי ימשיך בהליך הטיפול בתוך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הביע צער על מעשיו וטען כי הטיפול עוזר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קביעת מתחם העונש ההולם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על פי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ג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מתחם העונש בהתאם לעקרון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בערך החברתי שנפגע מביצוע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במידת הפגיעה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אין מחלוקת בין הצדדים כי כתב האישום מתאר 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ascii="David" w:hAnsi="David"/>
          <w:rtl w:val="true"/>
        </w:rPr>
        <w:t xml:space="preserve"> שבגינו יש לקבוע מתחם עונש הולם אחד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הערכים החברתיים המוגנים</w:t>
      </w:r>
      <w:r>
        <w:rPr>
          <w:rFonts w:ascii="David" w:hAnsi="David"/>
          <w:rtl w:val="true"/>
        </w:rPr>
        <w:t xml:space="preserve"> אשר נפגעו כתוצאה ממעשיו של הנאשם כוללים בתוכם את השמירה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חייו וגופו של 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השמירה על שלטון החוק והסדר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ההגנה על השוטרים בעת עשיית מלאכתם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מזה תקופה ארוכה שב ומבהיר בית המשפט העליון את חומרת עבירות הנשק ואת החובה להחמיר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579/22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אגבאריה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13/06/22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נקבע כי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34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הפכו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חומרתן היתרה של 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פגיעתן הקשה והשפעתן על תחושת הביטחון של כלל אזרחי המדינה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זכו להתייחסות נרחבת בפסקי דין רבים של בית משפט 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צוין כי עבירות אלה מייצרות במהותן איומים וסיכונים משמעותיים לשלום הציבור וביטחונו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והן מהוות בסיס לביצוע פעילות 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פשיעה לאומנית ופעולות טרור מסכנות חיים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זמינותם ונגישותם של כלי נשק בלתי חוקיים מאפשרות שימוש תדיר בנשק ככלי לפתרון סכסוכים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לעיתים תוך ירי באזורי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וגביית קורבנות בגוף ובנפש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34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340"/>
        <w:jc w:val="both"/>
        <w:rPr/>
      </w:pPr>
      <w:r>
        <w:rPr>
          <w:rFonts w:ascii="David" w:hAnsi="David"/>
          <w:rtl w:val="true"/>
        </w:rPr>
        <w:t>ראו גם דברי בית המשפט העליון ב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hyperlink r:id="rId26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פס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19/04/04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720" w:end="34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הרי שהמציאות השוררת היום בארץ – זמינותו של נשק חם ורב עוצמה שיש עמו פוטנציאל להסלמה באלימות העבריינית והאידאולוגית כאחד – מחייבת מתן ביטוי עונשי הולם והחמרה ברמת הענישה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אם אכן נהגו בתי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בסלחנות עד כה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ניתן לומר כי לא הרימו תרומה מספקת לעקירת התופעה של החזקה או נשיאה של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שהתפשטה במקומותינו והתדרדרה לשימוש בו בידי גורמים המסכנים את שלומו ואת ביטחונו של הציבור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לאחרונה נקבע ב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14/09/22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פלוני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 xml:space="preserve">מדיניות הענישה בעבירות נשק שבית משפט זה קבע בשורה ארוכה של פסקי דין הופנמה אך באופן חלקי – </w:t>
      </w:r>
      <w:r>
        <w:rPr>
          <w:rFonts w:ascii="David" w:hAnsi="David"/>
          <w:b/>
          <w:b/>
          <w:bCs/>
          <w:color w:val="000000"/>
          <w:rtl w:val="true"/>
        </w:rPr>
        <w:t>וחבל שכך</w:t>
      </w:r>
      <w:r>
        <w:rPr>
          <w:rFonts w:cs="David" w:ascii="David" w:hAnsi="David"/>
          <w:b/>
          <w:bCs/>
          <w:color w:val="000000"/>
          <w:rtl w:val="true"/>
        </w:rPr>
        <w:t xml:space="preserve">....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בית משפט זה יישם את מדיניות ההחמרה האמורה ביחס לכלל עבירות נשק בשורה ארוכה של פסקי דין </w:t>
      </w:r>
      <w:r>
        <w:rPr>
          <w:rFonts w:cs="David" w:ascii="David" w:hAnsi="David"/>
          <w:b/>
          <w:bCs/>
          <w:color w:val="000000"/>
          <w:rtl w:val="true"/>
        </w:rPr>
        <w:t xml:space="preserve">... </w:t>
      </w:r>
      <w:r>
        <w:rPr>
          <w:rFonts w:ascii="David" w:hAnsi="David"/>
          <w:b/>
          <w:b/>
          <w:bCs/>
          <w:color w:val="000000"/>
          <w:rtl w:val="true"/>
        </w:rPr>
        <w:t>מדיניות בלתי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 xml:space="preserve">מתפשרת זו קיבלה באחרונה ביטוי סטטוטורי בסעיף </w:t>
      </w:r>
      <w:r>
        <w:rPr>
          <w:rFonts w:cs="David" w:ascii="David" w:hAnsi="David"/>
          <w:b/>
          <w:bCs/>
          <w:color w:val="000000"/>
        </w:rPr>
        <w:t>144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ז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לחוק אשר חוקק במסגרת תיקון מס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cs="David" w:ascii="David" w:hAnsi="David"/>
          <w:b/>
          <w:bCs/>
          <w:color w:val="000000"/>
        </w:rPr>
        <w:t>140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 xml:space="preserve">... </w:t>
      </w:r>
      <w:r>
        <w:rPr>
          <w:rFonts w:ascii="David" w:hAnsi="David"/>
          <w:b/>
          <w:b/>
          <w:bCs/>
          <w:color w:val="000000"/>
          <w:rtl w:val="true"/>
        </w:rPr>
        <w:t>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שכן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color w:val="000000"/>
          <w:rtl w:val="true"/>
        </w:rPr>
        <w:t>[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 xml:space="preserve">] </w:t>
      </w:r>
      <w:r>
        <w:rPr>
          <w:rFonts w:ascii="David" w:hAnsi="David"/>
          <w:b/>
          <w:b/>
          <w:bCs/>
          <w:color w:val="000000"/>
          <w:rtl w:val="true"/>
        </w:rPr>
        <w:t>מסוג זה ובמבצעיהן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color w:val="000000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אשר נכנס לתוקף טרם ביצוע העבירות עליהן נותן הנאשם את הדין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קובע לצד עבירת הנשק בה הורשע הנאשם עונש מזערי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רבע מהעונש המרבי שהוא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עבירת הנשק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בקביעת עונש מינימום לעבירה זו ביקש המחוקק להביע דעתו באשר לצורך בהחמרה בענישה בעבירות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עיון ב</w:t>
      </w:r>
      <w:r>
        <w:rPr>
          <w:rFonts w:ascii="David" w:hAnsi="David"/>
          <w:b/>
          <w:b/>
          <w:bCs/>
          <w:rtl w:val="true"/>
        </w:rPr>
        <w:t xml:space="preserve">דברי ההסבר להצעת חוק </w:t>
      </w:r>
      <w:r>
        <w:rPr>
          <w:rFonts w:ascii="David" w:hAnsi="David"/>
          <w:rtl w:val="true"/>
        </w:rPr>
        <w:t>זו מלמד כי הרקע לקביעת עונש המינימום נבע מגידול משמעותי בעבירות החזקת נשק ומספר העבירות הקשורות לעבירה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העלייה במספר עבירות הנשק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מכך לעליה במספר אירועי הירי במדינה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המחוקק להביא להחמרה בענישה על ידי קביעת עונש מינימום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שמדובר בכלי חריג ויוצא דופן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דברי ההסבר ל</w:t>
      </w:r>
      <w:r>
        <w:rPr>
          <w:rFonts w:ascii="David" w:hAnsi="David"/>
          <w:b/>
          <w:b/>
          <w:bCs/>
          <w:rtl w:val="true"/>
        </w:rPr>
        <w:t>הצ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הכנסת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872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מיום </w:t>
      </w:r>
      <w:r>
        <w:rPr>
          <w:rFonts w:cs="David" w:ascii="David" w:hAnsi="David"/>
          <w:b/>
          <w:bCs/>
        </w:rPr>
        <w:t>03/08/2021</w:t>
      </w:r>
      <w:r>
        <w:rPr>
          <w:rFonts w:cs="David" w:ascii="David" w:hAnsi="David"/>
          <w:rtl w:val="true"/>
        </w:rPr>
        <w:t>].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ניתן אמנם להטיל חלק מהעונש המזערי על תנאי וניתן אף לגזור עונש נמוך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בהתקיים נסיבות מיוחדות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אך על דרך הכלל יש להחמיר בענישתם של מבצעי 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לקבוע מתחם עונש הולם אשר תחתיתו מושפעת ומתיישבת עם הנחייתו הברורה של המחוקק ומשקפת את החומרה המיוחסת לעבירה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 xml:space="preserve">לעניין הצורך בענישה מחמירה בגין עבירות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מרדפים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אפנה לדברי כבוד 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 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1919/22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מקדשי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02/08/22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נקבע כך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34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צורך להכביר מילים על אודות הסכנה הכרוכה במרדף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סכנה לעוברי אורח ולמשתמשים בכביש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וסכנה לשוטרים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ולמרבה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לאחרונה קיפחו שוטרים את חייהם בעקבות ניסיונות הימלטות ומרדף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כאשר שוטר מורה לאדם לעצור בשולי הדרך – יש לעצור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חלק ופשוט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דומה כי תופעת המרדפים אך החמירה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יצאה מתחומי הנגב ונפוצה בכל הארץ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ועל הענישה בעבירות הכרוכות במרדף לשקף את תרומת בתי המשפט בהגנה על הציבור ועל השוטרים העושים מלאכתם</w:t>
      </w:r>
      <w:r>
        <w:rPr>
          <w:rFonts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מידת הפגיעה בערכים המוגנים </w:t>
      </w:r>
      <w:r>
        <w:rPr>
          <w:rFonts w:ascii="David" w:hAnsi="David"/>
          <w:rtl w:val="true"/>
        </w:rPr>
        <w:t>היא ברף הבינוני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לאור שילוב העבירות אותן ביצע הנאשם – עבירת נשיאת והובלת נשק לצד עבירת נהיגה פזיזה ורשלנית בזמן שכרות וללא רישיון נהיגה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כל זאת לצד נסיבות ביצוע העבירות ובהן נשיאת לא פחות משני סוגי נשק שבכוחם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כדי נהיגה ברכב בזמן שכרות וללא רישיון כשאדם נוסף מוסע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כשבעת ביצוע ההימלטות מן השוטרים נהג הנאשם בפראות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מעבר בין נתיבים וחציית צומת ברמזור אדום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מדיניות הענישה הנוהגת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בטרם הפנייה לפסיקה נוהגת אציין את הידוע לכל ולפיו הפסיקה הנוהגת מהווה פרמטר אחד מתוך מספר פרמטרים שהתווה המחוקק לבתי המשפט בקובעם את מתחם העונש ההולם וכי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מלאכת הענישה לעולם אינה מתמטית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ועליה להיגזר מנסיבותיו הקונקרטיות של כל מקרה לגופו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4232/20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פלוני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12/11/20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)].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בחינת מדיניות הענישה הנוהגת מעלה כי בתי המשפט שוקלים פרמטרים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וביניהם את כמות וסוג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היה טעון ומלווה 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וסיבת 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השאלה האם לווה בעבירות נוספות ומאיזה סוג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ככלל בעבירות מהסוג עליו נותן הנאשם את הדין נוהגים בתי המשפט להחמיר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לעבירת הנהיגה בפזיזות ורשלנות יש לשקול את רמת הסיכון שנבעה מנסיבות 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ומכאן לפסיקה הנוהגת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מדינת ישראל נגד 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ערעור המדינה בעניינו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עבירות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 וכניסה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שלא היה מורשה להיכנס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כשהוא נוסע ברחבי אום אל פאחם 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התבקש לעצור לבדיקת השוטרים – יצא מהרכב והחל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– נאבק בשוטר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שנעצר בעזרת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16-40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ובשל נסיבותיו האישיות של הנאשם והיעדר עבר פלילי – הטיל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בית המשפט העליון קיבל את ערעור המדינה על קולת העונש וקבע </w:t>
      </w:r>
      <w:r>
        <w:rPr>
          <w:rFonts w:ascii="David" w:hAnsi="David"/>
          <w:rtl w:val="true"/>
          <w:lang w:val="en-IL" w:eastAsia="en-IL"/>
        </w:rPr>
        <w:t>כי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 </w:t>
      </w:r>
      <w:r>
        <w:rPr>
          <w:rFonts w:cs="David" w:ascii="David" w:hAnsi="David"/>
          <w:b/>
          <w:bCs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rtl w:val="true"/>
          <w:lang w:val="en-IL" w:eastAsia="en-IL"/>
        </w:rPr>
        <w:t>כעולה מפסיקתו של בית משפט זה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, 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b/>
          <w:bCs/>
          <w:lang w:val="en-IL" w:eastAsia="en-IL"/>
        </w:rPr>
        <w:t>30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ל</w:t>
      </w:r>
      <w:r>
        <w:rPr>
          <w:rFonts w:cs="David" w:ascii="David" w:hAnsi="David"/>
          <w:b/>
          <w:bCs/>
          <w:rtl w:val="true"/>
          <w:lang w:val="en-IL" w:eastAsia="en-IL"/>
        </w:rPr>
        <w:t>-</w:t>
      </w:r>
      <w:r>
        <w:rPr>
          <w:rFonts w:cs="David" w:ascii="David" w:hAnsi="David"/>
          <w:b/>
          <w:bCs/>
          <w:lang w:val="en-IL" w:eastAsia="en-IL"/>
        </w:rPr>
        <w:t>42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חודשי מאסר בין סורג ובריח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הווה אומר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באין נסיבות מיוחדות לחומרא או לקולא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יהא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בהחלט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סביר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יטיל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נאשם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כאמור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עונש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</w:rPr>
        <w:t>36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לריצוי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בפועל</w:t>
      </w:r>
      <w:r>
        <w:rPr>
          <w:b/>
          <w:bCs/>
          <w:sz w:val="20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...". 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 [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ראו </w:t>
      </w:r>
      <w:r>
        <w:rPr>
          <w:rFonts w:ascii="David" w:hAnsi="David"/>
          <w:b/>
          <w:b/>
          <w:bCs/>
          <w:rtl w:val="true"/>
        </w:rPr>
        <w:t xml:space="preserve">פסקאות </w:t>
      </w:r>
      <w:r>
        <w:rPr>
          <w:rFonts w:cs="David" w:ascii="David" w:hAnsi="David"/>
          <w:b/>
          <w:bCs/>
        </w:rPr>
        <w:t>15-16</w:t>
      </w:r>
      <w:r>
        <w:rPr>
          <w:rFonts w:cs="David" w:ascii="David" w:hAnsi="David"/>
          <w:b/>
          <w:bCs/>
          <w:rtl w:val="true"/>
        </w:rPr>
        <w:t xml:space="preserve">]. </w:t>
      </w:r>
      <w:r>
        <w:rPr>
          <w:rFonts w:ascii="David" w:hAnsi="David"/>
          <w:rtl w:val="true"/>
        </w:rPr>
        <w:t>יובהר כי באמירה זו התייחס בית המשפט לקביעת מתחם עונש הולם בגין ביצוע עבירת נשיאת נשק במרחב הציבורי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במקרה שלפניי הנאשם לא רק שנשא שני נשקים אלא אף ביצע עבירות נלוות שיש אף בהן להשפיע על קביעת מתחם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באותו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מצבו הרפואי והיעדר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ומאיד גיסא בשל העבירות הנלוות – ומאחר ובית המשפט ביושבו כערכאת ערעור אינו ממצה את הדין עם הנאשם – העמיד בית המשפט את עונשו של הנאשם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5819/21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עודה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02/11/21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ערעורו של מי שהורשע בביצוע עבירת נשיאת נשק ותחמושת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שנשמעו קולות ירי סמוך למקום בו שהה הנאשם – הנאשם נמלט מהשוטרים כשהוא נושא בידו נשק דמוי תת מקלע ובתוכו מחסנית וכדורי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עונשו של הנאשם איננו חמור נוכח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צורך בהחמרת הענישה בעבירות מסוג זה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6047/20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רוש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18/11/20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נדון ערעורו של מי שהורשע בביצוע עבירת 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לאחר שהודה בכך שבעת שרכב על אופנוע בכביש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על גבו תיק גב ובו אקדח ובתוכו מחסנית עם כדור אחד ומשתיק קול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ששוטרים הורו לו לעצור – ניסה הנאשם לעבור את החסימה אך נפל אל 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קם ורץ לעבר שטח ההפרדה בין הנתיבים – אך נעצר על ידי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</w:rPr>
        <w:t>2-4.5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והטיל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הפעלת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בהסכמת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להסדר המקורי אליו הגיעו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הקל בית המשפט העליון בעונשו של הנאשם והטיל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קבע כי מחצית מהמאסר המותנה יופעל בחופף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3877/20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באלי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17/11/16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הפנו גם המאשימה וגם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ערעורו של מי שהורשע בביצוע עבירת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שהודה בכך שנסע יחד עם אחר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ונשא אקדח גנוב הטעון במחסנית שבה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משהגיע למקום מפגש שתואם בין אחרים החביא את האקדח במכנסיו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ומשהגיעו שוטרים למקום השליך את האקדח לרצפה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</w:rPr>
        <w:t>24-48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העונש שהוטל על הנאשם איננו 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חורג ממדיניות הענישה וזאת ביתר שאת נוכח עברו הפלילי של הנאשם שבגינו ריצה אף מאסר ממושך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6484/12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צוברה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30/04/13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הפנתה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ערעורו של מי שהורשע בביצוע עבירת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בפזיזות ורשלנות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שהודה בכך שקיבל מאחר תיק שבתוכו מטען חבלה והניחו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משנעצר הרכב עקב עומס תנועה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רצו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בלשי משטרה במטרה לעצור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מהם הצליח לפתוח את הדלת ולהחזיקו בחולצתו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לחץ הנאשם על דוושת הגז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במנוסה והתעלם מהקריאות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בצורה פרועה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פגיעה ברכבים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שהתנגש בעץ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ונתפס רק לאחר מרדף רגלי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פסילה מהחזקת רישיון 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נסוב סביב עניין רכיב הפסילה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הערעור לאחר שציין כי אין מחלוקת שלא הייתה לנאשם דרך לדעת כי הרודפים אחריו הם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הופחת רכיב הפסילה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זראיעה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21/02/12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נדון ערעורו של מי שהורשע בביצוע עבירת נשיאת והובלת נשק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שהודה בכך שבעת שנסע ברכבו הסליק בו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טעונה וקופסאות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נתפסו בחיפוש שגרתי שביצעה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המשפט העליון דחה את ערעורו של הנאשם וקבע כי בית המשפט המחוזי ערך איזון ראוי בין האינטרס הציבורי של גמול והרתעה לבין השיקולים האינדיבידואליים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43009-08-20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גנד אבו גאמע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21/11/21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rtl w:val="true"/>
        </w:rPr>
        <w:t>אליו הפנתה ההגנה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הטיל בית המשפט המחוזי עונש מאסר בפועל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לצד ענישה נלווית על נאשם אשר הורשע בנשיאת והובלת נשק עת החזיק אקדח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 מחסנית ריקה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ובהפרעה לשוטר עת ברח רגלית מהרכב בו נסע לנתיב הנגדי של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מעד ונעצר על ידי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 על אף המלצת שירות המבחן להסתפק בעונש מאסר שירוצה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17073-08-21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אבן חמיד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18/07/22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הטיל בית המשפט המחוזי עונש מאסר בפועל בן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 על נאשם אשר הורשע בהתאם להודאתו בביצוע עבירות 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ונהיגה ללא רישיון וללא ביטוח תקפים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פעילות יזומה של המשטרה הגיעו שוטרים למקום מושבו של הנאשם אשר ברח מהמקום על אף קריאות שוטר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 לעצור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עלה על רכב והחל בנסיעה על אף ירי באוויר שביצע השוטר ועל אף שזה נתלה על חלון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נעצר רק לאחר שהשוטר ביצע ירי לעבר 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 הוברר כי הנאשם הוביל ברכב אקדח מסוג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הנע בין </w:t>
      </w:r>
      <w:r>
        <w:rPr>
          <w:rFonts w:cs="David" w:ascii="David" w:hAnsi="David"/>
        </w:rPr>
        <w:t>40-55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בן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יודגש כי למעט 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פלוני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יתר פסקי הדין אליהם הפניתי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ניתנו טרם 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שבמסגרתו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ביקש המחוקק להביא להחמרה בענישה בעבירות נשק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8116/10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מרעי אבו עאמר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10/03/11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ערעורו של מי שהורשע בביצוע עבירות של נהיגה בפזיזות וברשלנות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לרכוש במזיד והעלבת עובד 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משהודה שלאחר שחיילים הורו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הוריד חמישה נוסעים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פניית פרסה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לעבר הרכב 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הגביר את מהירות נסיעתו ומשהרכב הצבאי סטה מהדרך הוא התנגש בצדו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מההתנגשות נפצע אחד החיילים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המשיך בנסיעה עד שרכב משטרתי 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המלצת תסקיר שירות המבחן להסתפק בהטלת עונש מאסר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הערעור תוך שקבע כי העונש אינו חורג בחומרתו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overflowPunct w:val="false"/>
        <w:autoSpaceDE w:val="false"/>
        <w:spacing w:lineRule="auto" w:line="360"/>
        <w:ind w:hanging="0" w:start="720" w:end="0"/>
        <w:jc w:val="both"/>
        <w:outlineLvl w:val="1"/>
        <w:rPr/>
      </w:pP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115/21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סער צוברי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20/01/21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נדון ערעורו של מי שהורשע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בהתאם הודאתו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בעבירות של נהיגה בשכרות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בזמן פסילה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ללא רישיון נהיגה בתוקף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ללא כיסוי ביטוחי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ונהיגה משמאל לקו הפרדה רצוף</w:t>
      </w:r>
      <w:r>
        <w:rPr>
          <w:rFonts w:eastAsia="Calibri" w:cs="David" w:ascii="David" w:hAnsi="David"/>
          <w:spacing w:val="10"/>
          <w:rtl w:val="true"/>
        </w:rPr>
        <w:t xml:space="preserve">. </w:t>
      </w:r>
      <w:r>
        <w:rPr>
          <w:rFonts w:ascii="David" w:hAnsi="David" w:eastAsia="Calibri"/>
          <w:spacing w:val="10"/>
          <w:rtl w:val="true"/>
        </w:rPr>
        <w:t xml:space="preserve">בית משפט השלום קבע מתחם עונש הולם הנע בין </w:t>
      </w:r>
      <w:r>
        <w:rPr>
          <w:rFonts w:eastAsia="Calibri" w:cs="David" w:ascii="David" w:hAnsi="David"/>
          <w:spacing w:val="10"/>
        </w:rPr>
        <w:t>7-14</w:t>
      </w:r>
      <w:r>
        <w:rPr>
          <w:rFonts w:eastAsia="Calibri" w:cs="David" w:ascii="David" w:hAnsi="David"/>
          <w:spacing w:val="10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חודשי מאסר בפועל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לצד עונשים נלווים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 xml:space="preserve">וגזר על המבקש </w:t>
      </w:r>
      <w:r>
        <w:rPr>
          <w:rFonts w:eastAsia="Calibri" w:cs="David" w:ascii="David" w:hAnsi="David"/>
          <w:spacing w:val="10"/>
        </w:rPr>
        <w:t>7</w:t>
      </w:r>
      <w:r>
        <w:rPr>
          <w:rFonts w:eastAsia="Calibri" w:cs="David" w:ascii="David" w:hAnsi="David"/>
          <w:spacing w:val="10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חודשי מאסר בפועל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 xml:space="preserve">הפעיל מאסר מותנה בן </w:t>
      </w:r>
      <w:r>
        <w:rPr>
          <w:rFonts w:eastAsia="Calibri" w:cs="David" w:ascii="David" w:hAnsi="David"/>
          <w:spacing w:val="10"/>
        </w:rPr>
        <w:t>10</w:t>
      </w:r>
      <w:r>
        <w:rPr>
          <w:rFonts w:eastAsia="Calibri" w:cs="David" w:ascii="David" w:hAnsi="David"/>
          <w:spacing w:val="10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חודשים באופן ש</w:t>
      </w:r>
      <w:r>
        <w:rPr>
          <w:rFonts w:eastAsia="Calibri" w:cs="David" w:ascii="David" w:hAnsi="David"/>
          <w:spacing w:val="10"/>
          <w:rtl w:val="true"/>
        </w:rPr>
        <w:t>-</w:t>
      </w:r>
      <w:r>
        <w:rPr>
          <w:rFonts w:eastAsia="Calibri" w:cs="David" w:ascii="David" w:hAnsi="David"/>
          <w:spacing w:val="10"/>
        </w:rPr>
        <w:t>4</w:t>
      </w:r>
      <w:r>
        <w:rPr>
          <w:rFonts w:eastAsia="Calibri" w:cs="David" w:ascii="David" w:hAnsi="David"/>
          <w:spacing w:val="10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חודשים ירוצו במצטבר והיתר בחופף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 xml:space="preserve">ובסך הכול </w:t>
      </w:r>
      <w:r>
        <w:rPr>
          <w:rFonts w:eastAsia="Calibri" w:cs="David" w:ascii="David" w:hAnsi="David"/>
          <w:spacing w:val="10"/>
        </w:rPr>
        <w:t>11</w:t>
      </w:r>
      <w:r>
        <w:rPr>
          <w:rFonts w:eastAsia="Calibri" w:cs="David" w:ascii="David" w:hAnsi="David"/>
          <w:spacing w:val="10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חודשי מאסר בפועל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 xml:space="preserve">וכן הטיל על הנאשם </w:t>
      </w:r>
      <w:r>
        <w:rPr>
          <w:rFonts w:eastAsia="Calibri" w:cs="David" w:ascii="David" w:hAnsi="David"/>
          <w:spacing w:val="10"/>
        </w:rPr>
        <w:t>4</w:t>
      </w:r>
      <w:r>
        <w:rPr>
          <w:rFonts w:eastAsia="Calibri" w:cs="David" w:ascii="David" w:hAnsi="David"/>
          <w:spacing w:val="10"/>
          <w:rtl w:val="true"/>
        </w:rPr>
        <w:t xml:space="preserve"> </w:t>
      </w:r>
      <w:r>
        <w:rPr>
          <w:rFonts w:ascii="David" w:hAnsi="David" w:eastAsia="Calibri"/>
          <w:spacing w:val="10"/>
          <w:rtl w:val="true"/>
        </w:rPr>
        <w:t>שנות פסילה וענישה נלווית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זאת על אף המלצת שירות המבחן להעדיף בעניינו את הפן השיקומי</w:t>
      </w:r>
      <w:r>
        <w:rPr>
          <w:rFonts w:eastAsia="Calibri" w:cs="David" w:ascii="David" w:hAnsi="David"/>
          <w:spacing w:val="10"/>
          <w:rtl w:val="true"/>
        </w:rPr>
        <w:t xml:space="preserve">. </w:t>
      </w:r>
      <w:r>
        <w:rPr>
          <w:rFonts w:ascii="David" w:hAnsi="David" w:eastAsia="Calibri"/>
          <w:spacing w:val="10"/>
          <w:rtl w:val="true"/>
        </w:rPr>
        <w:t>בית המשפט המחוזי דחה את ערעור המבקש על גזר הדין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 xml:space="preserve">תוך שקבע כי אומנם המבקש עשה </w:t>
      </w:r>
      <w:r>
        <w:rPr>
          <w:rFonts w:eastAsia="Calibri" w:cs="David" w:ascii="David" w:hAnsi="David"/>
          <w:spacing w:val="10"/>
          <w:rtl w:val="true"/>
        </w:rPr>
        <w:t>"</w:t>
      </w:r>
      <w:r>
        <w:rPr>
          <w:rFonts w:ascii="David" w:hAnsi="David" w:eastAsia="Calibri"/>
          <w:spacing w:val="10"/>
          <w:rtl w:val="true"/>
        </w:rPr>
        <w:t>מאמצים ראויים לשבח להמחיש כי פניו לאפיק הטיפולי</w:t>
      </w:r>
      <w:r>
        <w:rPr>
          <w:rFonts w:eastAsia="Calibri" w:cs="David" w:ascii="David" w:hAnsi="David"/>
          <w:spacing w:val="10"/>
          <w:rtl w:val="true"/>
        </w:rPr>
        <w:t xml:space="preserve">", </w:t>
      </w:r>
      <w:r>
        <w:rPr>
          <w:rFonts w:ascii="David" w:hAnsi="David" w:eastAsia="Calibri"/>
          <w:spacing w:val="10"/>
          <w:rtl w:val="true"/>
        </w:rPr>
        <w:t>ונסיבותיו המשפחתיות אינן פשוטות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אולם חומרת מעשיו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אשר התבטאה בסיכון עוברי אורח כתוצאה מנהיגתו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לצד זלזולו המובהק בצווים שיפוטיים</w:t>
      </w:r>
      <w:r>
        <w:rPr>
          <w:rFonts w:eastAsia="Calibri" w:cs="David" w:ascii="David" w:hAnsi="David"/>
          <w:spacing w:val="10"/>
          <w:rtl w:val="true"/>
        </w:rPr>
        <w:t xml:space="preserve">, </w:t>
      </w:r>
      <w:r>
        <w:rPr>
          <w:rFonts w:ascii="David" w:hAnsi="David" w:eastAsia="Calibri"/>
          <w:spacing w:val="10"/>
          <w:rtl w:val="true"/>
        </w:rPr>
        <w:t>מצדיקים הטלת ענישה ממשית בעניינו</w:t>
      </w:r>
      <w:r>
        <w:rPr>
          <w:rFonts w:eastAsia="Calibri" w:cs="David" w:ascii="David" w:hAnsi="David"/>
          <w:spacing w:val="10"/>
          <w:rtl w:val="true"/>
        </w:rPr>
        <w:t xml:space="preserve">. </w:t>
      </w:r>
      <w:r>
        <w:rPr>
          <w:rFonts w:ascii="David" w:hAnsi="David" w:eastAsia="Calibri"/>
          <w:spacing w:val="10"/>
          <w:rtl w:val="true"/>
        </w:rPr>
        <w:t>בקשת רשות ערעור נדחתה</w:t>
      </w:r>
      <w:r>
        <w:rPr>
          <w:rFonts w:eastAsia="Calibri" w:cs="David" w:ascii="David" w:hAnsi="David"/>
          <w:spacing w:val="10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overflowPunct w:val="false"/>
        <w:autoSpaceDE w:val="false"/>
        <w:spacing w:lineRule="auto" w:line="360"/>
        <w:ind w:hanging="0" w:start="720" w:end="0"/>
        <w:jc w:val="both"/>
        <w:outlineLvl w:val="1"/>
        <w:rPr>
          <w:rFonts w:ascii="David" w:hAnsi="David" w:eastAsia="Calibri" w:cs="David"/>
          <w:spacing w:val="10"/>
        </w:rPr>
      </w:pPr>
      <w:r>
        <w:rPr>
          <w:rFonts w:ascii="David" w:hAnsi="David" w:eastAsia="Calibri"/>
          <w:spacing w:val="10"/>
          <w:rtl w:val="true"/>
        </w:rPr>
        <w:t xml:space="preserve">יובהר כי הגם שבמקרה שלפניי לא הורשע הנאשם בנהיגה בזמן פסילה ובעובדות כתב האישום המתוקן לא פורטה רמת השכרות של הנאשם </w:t>
      </w:r>
      <w:r>
        <w:rPr>
          <w:rFonts w:eastAsia="Calibri" w:cs="David" w:ascii="David" w:hAnsi="David"/>
          <w:spacing w:val="10"/>
          <w:rtl w:val="true"/>
        </w:rPr>
        <w:t xml:space="preserve">- </w:t>
      </w:r>
      <w:r>
        <w:rPr>
          <w:rFonts w:ascii="David" w:hAnsi="David" w:eastAsia="Calibri"/>
          <w:spacing w:val="10"/>
          <w:rtl w:val="true"/>
        </w:rPr>
        <w:t>יש בפסק דין זה כדי ללמד על רמת הענישה בגין עבירות התעבורה בהן הורשע הנאשם</w:t>
      </w:r>
      <w:r>
        <w:rPr>
          <w:rFonts w:eastAsia="Calibri" w:cs="David" w:ascii="David" w:hAnsi="David"/>
          <w:spacing w:val="1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pacing w:val="10"/>
        </w:rPr>
      </w:pPr>
      <w:r>
        <w:rPr>
          <w:rFonts w:eastAsia="Calibri"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מצאתי ללמוד מ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1059/21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פלוני נגד מדינת ישראל </w:t>
      </w:r>
      <w:r>
        <w:rPr>
          <w:rFonts w:ascii="David" w:hAnsi="David"/>
          <w:rtl w:val="true"/>
        </w:rPr>
        <w:t>ו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3802/10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אלון נגד 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אליהם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אלה עוסקים בעבירות שונות מאלה אשר נדונות במסגרת גזר דין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ללמוד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4456/21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אבו עבסה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2231/18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בדאוון נגד 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4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נגד 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42214-10-16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אל רחים ואח</w:t>
      </w:r>
      <w:r>
        <w:rPr>
          <w:rFonts w:cs="David" w:ascii="David" w:hAnsi="David"/>
          <w:b/>
          <w:bCs/>
          <w:rtl w:val="true"/>
        </w:rPr>
        <w:t xml:space="preserve">', 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5336/13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צדוק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17/11/13</w:t>
      </w:r>
      <w:r>
        <w:rPr>
          <w:rFonts w:cs="David" w:ascii="David" w:hAnsi="David"/>
          <w:b/>
          <w:bCs/>
          <w:rtl w:val="true"/>
        </w:rPr>
        <w:t xml:space="preserve">), </w:t>
      </w:r>
      <w:hyperlink r:id="rId4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8017/20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גריפאת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22/12/20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hyperlink r:id="rId4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6219/10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נביל אלשמאלי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06/02/11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 הפנתה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בהם נדונו עבירות שונות ובנסיבות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מהותי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מאלה המונחות לפניי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מה גם שגזרי דין אלה ניתנו טרם 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5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שנועד להביא להחמרה בענישה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נסיבות ביצוע העבירה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b/>
          <w:b/>
          <w:bCs/>
          <w:rtl w:val="true"/>
        </w:rPr>
        <w:t xml:space="preserve"> נסיבות ביצוע העבירות </w:t>
      </w:r>
      <w:r>
        <w:rPr>
          <w:rFonts w:ascii="David" w:hAnsi="David"/>
          <w:rtl w:val="true"/>
        </w:rPr>
        <w:t>יש לשקול את היות הנאשם מבצע יחיד ועיקרי של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lightGray"/>
        </w:rPr>
      </w:pPr>
      <w:r>
        <w:rPr>
          <w:rFonts w:cs="David" w:ascii="David" w:hAnsi="David"/>
          <w:highlight w:val="lightGray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עוד יש ליתן משקל לנזק הפוטנציאלי ולסיכון המובנה בביצוע עבירת החזקת והובלת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במיוחד בשים לב לסוג הנשקים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תת מקלע ואקדח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לא ידוע לאן יגיעו הנשקים ואיזה שימוש פסול יעשה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כי העובדה שהנשקים לא היו טעונים אף היא תישקל במסגרת פוטנציאל הנזק ואף בשים לב לאמירת בית המשפט העליון כי במקרה דנן עבירות 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אינן חמורות עלי ספר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זאת גם תוך ידיעה כי ככלל העברת נשקים באופן לא חוקי יש בה משום פוטנציאל נזק בהגעתם לידיים עברייניות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לאומניות שידעו לציידם בתחמושת עת יתבקש לעשות שימוש באותם נשקים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לעבירות הנוגעות לאופן הנהיגה ברכב יש לשקול את הסיכון לחיי אדם שנבע מאופן נהיגתו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שיכור וללא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וכשברכבו נוסע אף אדם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וההימלטות 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ביודעו כי מדובר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חציית צומת ברמזור אדום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שנעשתה בשעת לילה מאוחרת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לרקע לביצוע העבירות – כעולה מדברי הנאשם עצמו עבירת ההובלה בוצעה על רקע רצון לרווח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תחת השפעת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שהיה באותו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הצליח להפעיל שיקול דעת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 יוצא כי שילוב העבירות בהן הנאשם הודה – נשיאת הנשק והובלתו ברכב בו נהג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שיכור ותוך נהיגה בפזיזות ורשלנות – בנסיבות המפורטות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שקילת פוטנציאל הנזק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יוצרים מארג נסיבות חמור ביותר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 xml:space="preserve">לאור האמור אני קובעת כי מתחם העונש ההולם בגין מכלול מעשיו של הנאשם נע בין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cs="David" w:ascii="David" w:hAnsi="David"/>
          <w:b/>
          <w:bCs/>
        </w:rPr>
        <w:t>62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שאלת הסטייה מהמתחם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. 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סבר כי במקרה דנן יש להורות על סטייה ממתחם העונש ההולם לקולה זאת בשל סיכוייו הממשיים של הנאשם להשתקם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hyperlink r:id="rId51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ד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5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כי לבית המשפט סמכות לסטות לקולה ממתחם העונש ההולם ככל שהתרשם כי הנאשם השתקם או קיים סיכוי של ממש שישתקם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David" w:hAnsi="David"/>
          <w:rtl w:val="true"/>
        </w:rPr>
        <w:t>כעולה מתסקיר שירות המבחן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מחלוקת כי הנאשם מביע מוטיבציה כנה להשתקם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משתף פעולה בהליך טיפולי בין כותלי בית הסוהר ואף הצהיר במעמד הטיעונים לעונש כי הוא מבקש להמשיך בו גם אם ייגזר עליו עונש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מהעובדה כי מדובר במי שמכור לטיפה המרה שנים ארוכות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לאחרונה חלה התדרדרות במצבו והתמכרותו אף החריפה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וקיימים גורמי סיכון במצבו אשר לעת עתה לא זכו לטיפול מקיף כנדרש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דברים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משגורמי סיכון במצבו טרם זכו למענה מקיף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אף הבעת המוטיבציה הכנה של הנאשם והשתלבותו בין כותלי בית הסוהר בהליך טיפול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ניתן לקבוע כי קיים סיכוי של ממש שישתקם עד כדי חריגה מן המתחם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ששיקולים אלה ישקלו במסגרת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ב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פלוני</w:t>
      </w:r>
      <w:r>
        <w:rPr>
          <w:rFonts w:ascii="David" w:hAnsi="David"/>
          <w:rtl w:val="true"/>
        </w:rPr>
        <w:t xml:space="preserve"> קבע כי בעבירות נשק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ככלל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color w:val="000000"/>
          <w:rtl w:val="true"/>
        </w:rPr>
        <w:t xml:space="preserve">[...] </w:t>
      </w:r>
      <w:r>
        <w:rPr>
          <w:rFonts w:ascii="David" w:hAnsi="David"/>
          <w:b/>
          <w:b/>
          <w:bCs/>
          <w:color w:val="000000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color w:val="000000"/>
          <w:rtl w:val="true"/>
        </w:rPr>
        <w:t>" (</w:t>
      </w:r>
      <w:r>
        <w:rPr>
          <w:rFonts w:ascii="David" w:hAnsi="David"/>
          <w:b/>
          <w:b/>
          <w:bCs/>
          <w:color w:val="000000"/>
          <w:rtl w:val="true"/>
        </w:rPr>
        <w:t>ראו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hyperlink r:id="rId5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4077/22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[</w:t>
      </w:r>
      <w:r>
        <w:rPr>
          <w:rFonts w:ascii="David" w:hAnsi="David"/>
          <w:b/>
          <w:b/>
          <w:bCs/>
          <w:color w:val="00000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rtl w:val="true"/>
        </w:rPr>
        <w:t>] (‏</w:t>
      </w:r>
      <w:r>
        <w:rPr>
          <w:rFonts w:cs="David" w:ascii="David" w:hAnsi="David"/>
          <w:b/>
          <w:bCs/>
          <w:color w:val="000000"/>
        </w:rPr>
        <w:t>28.7.2022</w:t>
      </w:r>
      <w:r>
        <w:rPr>
          <w:rFonts w:cs="David" w:ascii="David" w:hAnsi="David"/>
          <w:b/>
          <w:bCs/>
          <w:color w:val="000000"/>
          <w:rtl w:val="true"/>
        </w:rPr>
        <w:t xml:space="preserve">)). </w:t>
      </w:r>
      <w:r>
        <w:rPr>
          <w:rFonts w:ascii="David" w:hAnsi="David"/>
          <w:b/>
          <w:b/>
          <w:bCs/>
          <w:color w:val="000000"/>
          <w:rtl w:val="true"/>
        </w:rPr>
        <w:t>זאת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מסיבה פשוטה</w:t>
      </w:r>
      <w:r>
        <w:rPr>
          <w:rFonts w:cs="David" w:ascii="David" w:hAnsi="David"/>
          <w:b/>
          <w:bCs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בימים קשים אלה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color w:val="000000"/>
          <w:rtl w:val="true"/>
        </w:rPr>
        <w:t>." (</w:t>
      </w:r>
      <w:r>
        <w:rPr>
          <w:rFonts w:ascii="David" w:hAnsi="David"/>
          <w:b/>
          <w:b/>
          <w:bCs/>
          <w:color w:val="000000"/>
          <w:rtl w:val="true"/>
        </w:rPr>
        <w:t>שם</w:t>
      </w:r>
      <w:r>
        <w:rPr>
          <w:rFonts w:cs="David" w:ascii="David" w:hAnsi="David"/>
          <w:b/>
          <w:bCs/>
          <w:color w:val="000000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במילים פשוטות יותר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עסקינן במשחק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סכום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אפס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בית משפט שמרחם על העבריין אינו מרחם על הקורבן הבא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ראו והשוו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hyperlink r:id="rId5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3792/18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11.11.2018</w:t>
      </w:r>
      <w:r>
        <w:rPr>
          <w:rFonts w:cs="David" w:ascii="David" w:hAnsi="David"/>
          <w:b/>
          <w:bCs/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אם הדברים נכונים לעבירות נשק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נכונים הם שבעתיים במקרה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מעבר לעבירות הנשק בוצעו עבירות נוספות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עונשו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נסיבות שאינן קשורות בביצוע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שאינן קשורות בביצוע העבירות יש ליתן משקל לפגיעה של העונש בנאשם</w:t>
      </w:r>
      <w:r>
        <w:rPr>
          <w:rFonts w:cs="David" w:ascii="David" w:hAnsi="David"/>
          <w:rtl w:val="true"/>
        </w:rPr>
        <w:t>.</w:t>
        <w:br/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 אשר נשלח לריצוי מאסר מאחורי סורג ובריח נגרם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בשל הגבלת החירות והיעדר היכולת להתפרנס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מהפן הנפשי וההשפעות הסביבתיות הנלוות למאסר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יש ליתן משקל להודאה של הנאשם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בה משום לקיחת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ולהתרשמות שירות המבחן ממוטיבציה כנה של הנאשם להשתלב בהליך טיפול משמעותי בבעיית ההתמכרות ממנה סובל מזה שנים ארוכות ואף נמצא מתאים להליך שכזה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ליתן משקל לכך שמדיווח גורמי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כי הנאשם נשמע לכללים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משולב בקבוצות טיפוליות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לוקח בהן חלק פעיל ומשתף מעולמו הפנימי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לצד השתלבותו בטיפול פרטני אחת לשבוע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כפי שעולה מ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הרשעה קודמת מחודש ינואר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ביצוע עבירת שימוש במסמך מזויף אשר בגינה ריצה חודשיים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השנים </w:t>
      </w:r>
      <w:r>
        <w:rPr>
          <w:rFonts w:cs="David" w:ascii="David" w:hAnsi="David"/>
        </w:rPr>
        <w:t>2004-2018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מצויים בגיליון הרישום הפלילי של הנאשם עוד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בגין ביצוע עבירות החזקת נכס החשוד כגנוב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בשכרות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פריצה לרכב והצתת רכב מנועי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בגין שתיים מהן ריצה מאסרים בפועל למשך מספר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גיליון הרישום התעבורתי של הנאשם עולה כי בעברו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היתר הורשע 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עבירת נהיגה ללא רישיון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בביצוע עבירות נהיגה ללא רישיון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בקלות 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בזמן פסילה ואי ציות לשוטר – אשר בגינן הוטלו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בגין נהיגה בזמן שרישיונו פקע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מהמפורט עולה כי אין זה מפגשו הראשון של הנאשם עם רשויות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עונשי מאסר קודמים לא מנעו הסלמה במעשיו הפליליים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מעשיו מעידים על היעדר מורא מפני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הרתעת הרבים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נדמה כי אין צורך לה</w:t>
      </w:r>
      <w:r>
        <w:rPr>
          <w:rFonts w:ascii="David" w:hAnsi="David"/>
          <w:rtl w:val="true"/>
        </w:rPr>
        <w:t>כביר</w:t>
      </w:r>
      <w:r>
        <w:rPr>
          <w:rFonts w:ascii="David" w:hAnsi="David"/>
          <w:rtl w:val="true"/>
        </w:rPr>
        <w:t xml:space="preserve"> מילים בדבר הצורך הממשי בעת הזו לשקול אף את הצורך בהרתעת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בוודאי </w:t>
      </w:r>
      <w:r>
        <w:rPr>
          <w:rFonts w:ascii="David" w:hAnsi="David"/>
          <w:rtl w:val="true"/>
        </w:rPr>
        <w:t>ככל שהוא נוגע לעבירת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מסוג זה הפכו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כשחדשות לבקרים אנו עדים לתוצאות הטרגיות הנגרמות עת נעשה שימוש בנשק לא חוקי המוחזק בידי גורמים לא מוסמכים 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בידי ידיים עברייניות או לאומניות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תוצאות אלה לא רק פוגעות לצערנו בגופם של אזרחים חפים מפשע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משפיעות אף על תחושת הביטחון הכללית של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בהרחבה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הורה בית המשפט העליון שבעבירות מסוג זה יש לשקול אף את שיקולי הרתעת הרבים ולהחמיר בענישת אלה המחזיקים או מובילים נשק לא חוקי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בשוקלי את כלל השיקולים לחומרה ולקולה במקרה דנן באתי לכלל מסקנה כי </w:t>
      </w:r>
      <w:r>
        <w:rPr>
          <w:rFonts w:ascii="David" w:hAnsi="David"/>
          <w:rtl w:val="true"/>
        </w:rPr>
        <w:t xml:space="preserve">על אף הנסיבות לחומרה בעניינו של נאשם זה – עברו הפלילי לצד הצורך בהרתעת הרבים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המצדיקות הטלת ענישה ברף הבינוני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במקרה זה ניתן להסתפק בענישה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הנמוך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הבעת המוטיבציה של הנאשם לשיקום לצד שילובו </w:t>
      </w:r>
      <w:r>
        <w:rPr>
          <w:rFonts w:ascii="David" w:hAnsi="David"/>
          <w:rtl w:val="true"/>
        </w:rPr>
        <w:t>בהליך שיקום בין כותלי בית הסוהר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לצד האמור יש להטיל אף ענישה כלכלית בדמות קנס שיהא בו משום העברת מסר מרתיע לנאשם ולאחרים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במקרה דנן אסתפק בקנס סמלי בלבד לאור הרצון להעביר מסר של הכרה בהליך הטיפול שעובר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כי יש להטיל אף פסילת רישיון משמעותית בשים לב לעבירות התעבורה בהן הורשע ולעובדה כי באופן נהיגתו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שיכור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סיכן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אף תוך התייחסות לפסילת המינימום הקבועה בעבירה של נהיגה בשכרות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55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39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</w:hyperlink>
      <w:r>
        <w:rPr>
          <w:rFonts w:ascii="David" w:hAnsi="David"/>
          <w:b/>
          <w:b/>
          <w:bCs/>
          <w:rtl w:val="true"/>
        </w:rPr>
        <w:t xml:space="preserve"> ל</w:t>
      </w:r>
      <w:hyperlink r:id="rId5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אשר על כן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 גוזרת על הנאשם את העונשים הבאים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hanging="495"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48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 מאסר בפועל מהם ינוכו ימי מעצרו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hanging="495"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8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שנים מיום שחרורו שלא יעבור עבירה מסוג פשע לפי </w:t>
      </w:r>
      <w:hyperlink r:id="rId57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hyperlink r:id="rId58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עבירה לפי </w:t>
      </w:r>
      <w:hyperlink r:id="rId59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338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</w:t>
      </w:r>
      <w:hyperlink r:id="rId60"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332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לחוק העונשין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hanging="495"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שנים מיום שחרורו של יעבור שוב עבירה של נהיגה בשכרות 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או נהיגה ללא רישיון 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או נהיגה בזמן פסילה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עבירה מסוג עוון לפי </w:t>
      </w:r>
      <w:hyperlink r:id="rId61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hyperlink r:id="rId62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hanging="495"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24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 פסילה בפועל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start="920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בהעדר רישיון מניין הפסילה יחל להימנות מיום שחרורו מן המאסר אף ללא צורך בהפקד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 רישיון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hanging="495"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פסילה על תנאי למשך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שנים מיום שחרורו שלא יעבור שוב עבירה לפי התוספת הראשונה או השניה ל</w:t>
      </w:r>
      <w:hyperlink r:id="rId63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או עבירה של נהיגה בשכרות 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או עבירה של נהיגה בזמן פסילה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hanging="495" w:start="9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קנס בסך </w:t>
      </w:r>
      <w:r>
        <w:rPr>
          <w:rFonts w:eastAsia="Times New Roman" w:cs="David" w:ascii="David" w:hAnsi="David"/>
          <w:b/>
          <w:bCs/>
          <w:sz w:val="24"/>
          <w:szCs w:val="24"/>
        </w:rPr>
        <w:t>3000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b/>
          <w:bCs/>
          <w:sz w:val="24"/>
          <w:szCs w:val="24"/>
        </w:rPr>
        <w:t>30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ימי מאסר תמורת הקנס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start="92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הקנס ישולם 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תשלומים חודשיים שווים ורצופים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תשלום ראשון תוך </w:t>
      </w:r>
      <w:r>
        <w:rPr>
          <w:rFonts w:eastAsia="Times New Roman" w:cs="David" w:ascii="David" w:hAnsi="David"/>
          <w:b/>
          <w:bCs/>
          <w:sz w:val="24"/>
          <w:szCs w:val="24"/>
        </w:rPr>
        <w:t>90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יום מהיום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start="92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לבית המשפט 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>ים</w:t>
      </w:r>
      <w:r>
        <w:rPr>
          <w:rFonts w:ascii="David" w:hAnsi="David"/>
          <w:b/>
          <w:b/>
          <w:bCs/>
          <w:rtl w:val="true"/>
        </w:rPr>
        <w:t xml:space="preserve"> יושמד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טל לחיאני שהם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5"/>
      <w:footerReference w:type="default" r:id="rId66"/>
      <w:type w:val="nextPage"/>
      <w:pgSz w:w="11906" w:h="16838"/>
      <w:pgMar w:left="1701" w:right="1701" w:gutter="0" w:header="252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39831-02-22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אבו קרינאת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920" w:hanging="495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32473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32" TargetMode="External"/><Relationship Id="rId9" Type="http://schemas.openxmlformats.org/officeDocument/2006/relationships/hyperlink" Target="http://www.nevo.co.il/law/70301/338" TargetMode="External"/><Relationship Id="rId10" Type="http://schemas.openxmlformats.org/officeDocument/2006/relationships/hyperlink" Target="http://www.nevo.co.il/law/70301/338.a.1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10.a" TargetMode="External"/><Relationship Id="rId13" Type="http://schemas.openxmlformats.org/officeDocument/2006/relationships/hyperlink" Target="http://www.nevo.co.il/law/5227/39a" TargetMode="External"/><Relationship Id="rId14" Type="http://schemas.openxmlformats.org/officeDocument/2006/relationships/hyperlink" Target="http://www.nevo.co.il/law/5227/62.3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8.a.1" TargetMode="External"/><Relationship Id="rId18" Type="http://schemas.openxmlformats.org/officeDocument/2006/relationships/hyperlink" Target="http://www.nevo.co.il/law/5227/62.3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5227/10.a" TargetMode="External"/><Relationship Id="rId21" Type="http://schemas.openxmlformats.org/officeDocument/2006/relationships/hyperlink" Target="http://www.nevo.co.il/case/2912452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8266138" TargetMode="External"/><Relationship Id="rId26" Type="http://schemas.openxmlformats.org/officeDocument/2006/relationships/hyperlink" Target="http://www.nevo.co.il/case/5762686" TargetMode="External"/><Relationship Id="rId27" Type="http://schemas.openxmlformats.org/officeDocument/2006/relationships/hyperlink" Target="http://www.nevo.co.il/case/2888308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8410717" TargetMode="External"/><Relationship Id="rId30" Type="http://schemas.openxmlformats.org/officeDocument/2006/relationships/hyperlink" Target="http://www.nevo.co.il/case/26789718" TargetMode="External"/><Relationship Id="rId31" Type="http://schemas.openxmlformats.org/officeDocument/2006/relationships/hyperlink" Target="http://www.nevo.co.il/case/27894607" TargetMode="External"/><Relationship Id="rId32" Type="http://schemas.openxmlformats.org/officeDocument/2006/relationships/hyperlink" Target="http://www.nevo.co.il/case/26964498" TargetMode="External"/><Relationship Id="rId33" Type="http://schemas.openxmlformats.org/officeDocument/2006/relationships/hyperlink" Target="http://www.nevo.co.il/case/26760279" TargetMode="External"/><Relationship Id="rId34" Type="http://schemas.openxmlformats.org/officeDocument/2006/relationships/hyperlink" Target="http://www.nevo.co.il/case/5581458" TargetMode="External"/><Relationship Id="rId35" Type="http://schemas.openxmlformats.org/officeDocument/2006/relationships/hyperlink" Target="http://www.nevo.co.il/case/5878682" TargetMode="External"/><Relationship Id="rId36" Type="http://schemas.openxmlformats.org/officeDocument/2006/relationships/hyperlink" Target="http://www.nevo.co.il/case/26939409" TargetMode="External"/><Relationship Id="rId37" Type="http://schemas.openxmlformats.org/officeDocument/2006/relationships/hyperlink" Target="http://www.nevo.co.il/case/27844328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6121286" TargetMode="External"/><Relationship Id="rId40" Type="http://schemas.openxmlformats.org/officeDocument/2006/relationships/hyperlink" Target="http://www.nevo.co.il/case/27309208" TargetMode="External"/><Relationship Id="rId41" Type="http://schemas.openxmlformats.org/officeDocument/2006/relationships/hyperlink" Target="http://www.nevo.co.il/case/27404359" TargetMode="External"/><Relationship Id="rId42" Type="http://schemas.openxmlformats.org/officeDocument/2006/relationships/hyperlink" Target="http://www.nevo.co.il/case/5917214" TargetMode="External"/><Relationship Id="rId43" Type="http://schemas.openxmlformats.org/officeDocument/2006/relationships/hyperlink" Target="http://www.nevo.co.il/case/27734980" TargetMode="External"/><Relationship Id="rId44" Type="http://schemas.openxmlformats.org/officeDocument/2006/relationships/hyperlink" Target="http://www.nevo.co.il/case/23793846" TargetMode="External"/><Relationship Id="rId45" Type="http://schemas.openxmlformats.org/officeDocument/2006/relationships/hyperlink" Target="http://www.nevo.co.il/case/6473037" TargetMode="External"/><Relationship Id="rId46" Type="http://schemas.openxmlformats.org/officeDocument/2006/relationships/hyperlink" Target="http://www.nevo.co.il/case/21652831" TargetMode="External"/><Relationship Id="rId47" Type="http://schemas.openxmlformats.org/officeDocument/2006/relationships/hyperlink" Target="http://www.nevo.co.il/case/7821883" TargetMode="External"/><Relationship Id="rId48" Type="http://schemas.openxmlformats.org/officeDocument/2006/relationships/hyperlink" Target="http://www.nevo.co.il/case/27171364" TargetMode="External"/><Relationship Id="rId49" Type="http://schemas.openxmlformats.org/officeDocument/2006/relationships/hyperlink" Target="http://www.nevo.co.il/case/6054752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d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8697227" TargetMode="External"/><Relationship Id="rId54" Type="http://schemas.openxmlformats.org/officeDocument/2006/relationships/hyperlink" Target="http://www.nevo.co.il/case/24263089" TargetMode="External"/><Relationship Id="rId55" Type="http://schemas.openxmlformats.org/officeDocument/2006/relationships/hyperlink" Target="http://www.nevo.co.il/law/5227/39a" TargetMode="External"/><Relationship Id="rId56" Type="http://schemas.openxmlformats.org/officeDocument/2006/relationships/hyperlink" Target="http://www.nevo.co.il/law/5227" TargetMode="External"/><Relationship Id="rId57" Type="http://schemas.openxmlformats.org/officeDocument/2006/relationships/hyperlink" Target="http://www.nevo.co.il/law/70301/14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338" TargetMode="External"/><Relationship Id="rId60" Type="http://schemas.openxmlformats.org/officeDocument/2006/relationships/hyperlink" Target="http://www.nevo.co.il/law/70301/332" TargetMode="External"/><Relationship Id="rId61" Type="http://schemas.openxmlformats.org/officeDocument/2006/relationships/hyperlink" Target="http://www.nevo.co.il/law/70301/144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5227" TargetMode="External"/><Relationship Id="rId64" Type="http://schemas.openxmlformats.org/officeDocument/2006/relationships/hyperlink" Target="http://www.nevo.co.il/advertisements/nevo-100.doc" TargetMode="Externa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2024-05-05T08:34:00Z</dcterms:created>
  <dc:creator> </dc:creator>
  <dc:description/>
  <cp:keywords/>
  <dc:language>en-IL</dc:language>
  <cp:lastModifiedBy>h1</cp:lastModifiedBy>
  <dcterms:modified xsi:type="dcterms:W3CDTF">2024-05-05T08:34:00Z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אבו קרינאת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28324738;29124524;28266138;5762686;28883087;28410717;26789718;27894607;26964498;26760279;5581458;5878682;26939409;27844328;6121286;27309208;27404359;5917214;27734980;23793846;6473037;21652831;7821883;27171364;6054752;28697227;24263089</vt:lpwstr>
  </property>
  <property fmtid="{D5CDD505-2E9C-101B-9397-08002B2CF9AE}" pid="9" name="CITY">
    <vt:lpwstr>ב"ש</vt:lpwstr>
  </property>
  <property fmtid="{D5CDD505-2E9C-101B-9397-08002B2CF9AE}" pid="10" name="DATE">
    <vt:lpwstr>20221229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טל לחיאני שהם</vt:lpwstr>
  </property>
  <property fmtid="{D5CDD505-2E9C-101B-9397-08002B2CF9AE}" pid="14" name="LAWLISTTMP1">
    <vt:lpwstr>70301/144.b;338.a.1;040c.a;040d.a;144:2;338;332</vt:lpwstr>
  </property>
  <property fmtid="{D5CDD505-2E9C-101B-9397-08002B2CF9AE}" pid="15" name="LAWLISTTMP2">
    <vt:lpwstr>5227/062.3;010.a;039a</vt:lpwstr>
  </property>
  <property fmtid="{D5CDD505-2E9C-101B-9397-08002B2CF9AE}" pid="16" name="LAWYER">
    <vt:lpwstr>רחלי אטיאס;אלכס גאוסקין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39831</vt:lpwstr>
  </property>
  <property fmtid="{D5CDD505-2E9C-101B-9397-08002B2CF9AE}" pid="23" name="NEWPARTB">
    <vt:lpwstr>02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390020221229</vt:lpwstr>
  </property>
  <property fmtid="{D5CDD505-2E9C-101B-9397-08002B2CF9AE}" pid="35" name="TYPE_N_DATE">
    <vt:lpwstr>39020221229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