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6"/>
                <w:szCs w:val="26"/>
              </w:rPr>
              <w:t>39850-07-16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קאדר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</w:rPr>
              <w:t>22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מרץ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color w:val="000080"/>
          <w:sz w:val="28"/>
          <w:szCs w:val="28"/>
        </w:rPr>
      </w:pPr>
      <w:r>
        <w:rPr>
          <w:rFonts w:cs="FrankRuehl" w:ascii="Arial" w:hAnsi="Arial"/>
          <w:b/>
          <w:bCs/>
          <w:color w:val="000080"/>
          <w:sz w:val="28"/>
          <w:szCs w:val="28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נבו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6"/>
          <w:szCs w:val="6"/>
        </w:rPr>
      </w:pPr>
      <w:r>
        <w:rPr>
          <w:rFonts w:cs="FrankRueh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גואד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קאדר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Cs/>
                <w:sz w:val="28"/>
                <w:szCs w:val="28"/>
              </w:rPr>
              <w:t>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פאתח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קטאווי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Cs/>
                <w:sz w:val="28"/>
                <w:szCs w:val="28"/>
              </w:rPr>
              <w:t>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יחיא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Cs/>
                <w:sz w:val="28"/>
                <w:szCs w:val="28"/>
              </w:rPr>
              <w:t>4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גובני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  <w:b/>
          <w:bCs/>
        </w:rPr>
      </w:pPr>
      <w:bookmarkStart w:id="2" w:name="FirstLawyer"/>
      <w:r>
        <w:rPr>
          <w:rFonts w:ascii="Times New Roman" w:hAnsi="Times New Roman" w:eastAsia="Times New Roman" w:cs="Times New Roman"/>
          <w:b/>
          <w:b/>
          <w:bCs/>
          <w:rtl w:val="true"/>
        </w:rPr>
        <w:t>ב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כ</w:t>
      </w:r>
      <w:bookmarkEnd w:id="2"/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המאשימה – עו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ד מירב פליישר – לוי</w:t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ב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כ הנאשמים </w:t>
      </w:r>
      <w:r>
        <w:rPr>
          <w:rFonts w:eastAsia="Times New Roman" w:cs="Times New Roman" w:ascii="Times New Roman" w:hAnsi="Times New Roman"/>
          <w:b/>
          <w:bCs/>
        </w:rPr>
        <w:t>1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eastAsia="Times New Roman" w:cs="Times New Roman" w:ascii="Times New Roman" w:hAnsi="Times New Roman"/>
          <w:b/>
          <w:bCs/>
        </w:rPr>
        <w:t>3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 –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עו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ד הילאל גאבר</w:t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הנאשם </w:t>
      </w:r>
      <w:r>
        <w:rPr>
          <w:rFonts w:eastAsia="Times New Roman" w:cs="Times New Roman" w:ascii="Times New Roman" w:hAnsi="Times New Roman"/>
          <w:b/>
          <w:bCs/>
        </w:rPr>
        <w:t>3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-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בעצמו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במסגרת הסדר טיעון שאליו הגיעו הצדדים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תוקן כתב האישום בעניינו של נאשם זה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יצוין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 מדובר בכתב אישום המתייחס ל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נאשמים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כולם סיימו את עניינם בהסדרי טיעון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 xml:space="preserve">עניינו של נאשם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הסתיים כליל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כאשר ניתן גזר דין לפני זמן מה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 xml:space="preserve">עניינם של נאשמים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ממתין למתן גזר דין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לאחר טיעונים לעונש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bookmarkStart w:id="8" w:name="ABSTRACT_START"/>
      <w:bookmarkEnd w:id="8"/>
      <w:r>
        <w:rPr>
          <w:rFonts w:eastAsia="Times New Roman"/>
          <w:rtl w:val="true"/>
        </w:rPr>
        <w:t>על פי כתב האישום המתוקן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ביום </w:t>
      </w:r>
      <w:r>
        <w:rPr>
          <w:rFonts w:eastAsia="Times New Roman"/>
        </w:rPr>
        <w:t>4.7.16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בשעות אחר הצהריים התקשר אדם שזהותו אינה ידועה לנאשם והציע לנאשם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לרכוש ממנו נשק חדש בעלות של כ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3,200</w:t>
      </w:r>
      <w:r>
        <w:rPr>
          <w:rFonts w:eastAsia="Times New Roman"/>
          <w:rtl w:val="true"/>
        </w:rPr>
        <w:t xml:space="preserve"> ₪. </w:t>
      </w:r>
      <w:r>
        <w:rPr>
          <w:rFonts w:eastAsia="Times New Roman"/>
          <w:rtl w:val="true"/>
        </w:rPr>
        <w:t xml:space="preserve">נאשם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השיב כי יברר אם יוכל להוציא את העסקה לפועל ויחזור אליו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לשם קידום העסקה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התקשר נאשם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אל נאשם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הנאשם שבפנינו כעת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וביקש ממנו לאתר קונה עבור הנשק שהוצע לו על ידי האחר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 xml:space="preserve">כעבור כחצי שעה הודיע נאשם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לנאשם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 מצא קונה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אדם שזהותו אינה ידועה למאשימה ושיש בידו של אותו קונה סכום הכסף הנדרש עבור הנשק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עוד נאמר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 יש להמתין מס</w:t>
      </w:r>
      <w:r>
        <w:rPr>
          <w:rFonts w:eastAsia="Times New Roman"/>
          <w:rtl w:val="true"/>
        </w:rPr>
        <w:t xml:space="preserve">' </w:t>
      </w:r>
      <w:r>
        <w:rPr>
          <w:rFonts w:eastAsia="Times New Roman"/>
          <w:rtl w:val="true"/>
        </w:rPr>
        <w:t>שעות עד לביצוע העסקה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מכיוון שהקונה אינו באזור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בשעות הערב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בהמשך לאמור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תיאמו נאשמים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עם הקונה פגישה בסמוך לביתו של נאשם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ומשם יצאו השלושה לצורך הפגישה עם האחר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שממנו יקנו את כלי הנשק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 xml:space="preserve">בגין מעשים אלה הודה הנאשם והורשע בקשירת קשר לביצוע פשע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סחר בנשק</w:t>
      </w:r>
      <w:r>
        <w:rPr>
          <w:rFonts w:eastAsia="Times New Roman"/>
          <w:rtl w:val="true"/>
        </w:rPr>
        <w:t xml:space="preserve">), </w:t>
      </w:r>
      <w:r>
        <w:rPr>
          <w:rFonts w:eastAsia="Times New Roman"/>
          <w:rtl w:val="true"/>
        </w:rPr>
        <w:t xml:space="preserve">עבירה לפי </w:t>
      </w:r>
      <w:hyperlink r:id="rId4"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/>
            <w:color w:val="0000FF"/>
            <w:u w:val="single"/>
          </w:rPr>
          <w:t>499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5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התשל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ז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1977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לאחר השתלשלות עניינים מסוימת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העולה מפרוטוקול הדיונים הקודמים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ולאחר שהממונה על עבודות השירות התייחס אל הנאשם כפי שהתייחס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הגיעו הצדדים להסדר עונשי סגור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בנקודה זו חשוב לציין כי שליחתו של הנאשם לקבלת חוות דעת של הממונה על עבודות השירות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נעשתה חרף התנגדות של 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ותוך שבית המשפט הבהיר לנאשם כי אין בעצם שליחתו לממונה משום חיווי דעה על העונש הראוי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הוספתי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 אל לנאשם לפתח ציפיות בעניין זה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אוסיף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 בטרם נודע לי שהצדדים הגיעו להסדר עונשי סגור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שקלתי ביני לביני את העונש הראוי על יסוד כתב האישום המתוקן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על יסוד חלקם של האחרים בפרשה ועל יסוד עונשו של נאשם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שעניינו דומה לעניינו של נאשם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וממילא דומני כי עונש שיינשא בעבודות שירות לא היה מתאים במקרה דנן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הצדדים הגיעו להסדר המפורט בפתח הפרוטוקול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הכולל מאסר בן </w:t>
      </w:r>
      <w:r>
        <w:rPr>
          <w:rFonts w:eastAsia="Times New Roman"/>
        </w:rPr>
        <w:t>7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קנס בסך </w:t>
      </w:r>
      <w:r>
        <w:rPr>
          <w:rFonts w:eastAsia="Times New Roman"/>
        </w:rPr>
        <w:t>5,000</w:t>
      </w:r>
      <w:r>
        <w:rPr>
          <w:rFonts w:eastAsia="Times New Roman"/>
          <w:rtl w:val="true"/>
        </w:rPr>
        <w:t xml:space="preserve"> ₪ </w:t>
      </w:r>
      <w:r>
        <w:rPr>
          <w:rFonts w:eastAsia="Times New Roman"/>
          <w:rtl w:val="true"/>
        </w:rPr>
        <w:t>ומאסר מותנה לשיקול דעתו של בית המשפט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 המאשימה ציינה את חומרתן של עבירות הנשק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את המסוימות במקרה שלפנינו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את העובדה שמתוך השתלשלות העניינים עולה שלנאשם היו הקשרים הנדרשים לצורך מציאת קונה ואת התמונה בכללותה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המצדיקה קבלת ההסדר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בעיקר בהתחשב בהודייתו המוקדמת של נאשם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טרם התחלנו בשמיעת הוכחות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ובהתחשב בזמן הציבורי הרב שנחסך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 xml:space="preserve">היא ציינה את לקיחת האחריות מצדו של נאשם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 xml:space="preserve">עוד שקלה המאשימה את עברו הפלילי של נאשם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כעולה מבמ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ובמ</w:t>
      </w:r>
      <w:r>
        <w:rPr>
          <w:rFonts w:eastAsia="Times New Roman"/>
          <w:rtl w:val="true"/>
        </w:rPr>
        <w:t>/</w:t>
      </w:r>
      <w:r>
        <w:rPr>
          <w:rFonts w:eastAsia="Times New Roman"/>
        </w:rPr>
        <w:t>2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 הנאשם ביקש אף הוא לכבד את ההסדר ושם דגש על נסיבותיו האישיות של 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אשר 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  <w:rtl w:val="true"/>
        </w:rPr>
        <w:t>לאורך שנים ניסה להביא ילדים לעולם עם בת זוגו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ללא הצלחה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מאחר ששלושה הריונות הסתיימו אמנם בלידה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אך התינוק נפטר סמוך לאחר מכן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הוא ציין כי בעקבות המקרה דנן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מעצר הבית בפיקוח אלקטרוני והנסיבות שנוצרו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אשתו של הנאשם בחרה לעזוב את הבית והשניים נמצאים בהליכי גירושין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נוסף על כך ציין את מצבו הרפואי הגרוע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בעקבות מחלת כליות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הוא הוסיף כי יש לקחת בחשבון את תקופת המעצר של הנאשם וגם להתחשב בכך שהיה נתון בפיקוח אלקטרוני לאחר אותה תקופה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הנאשם עצמו ציין כי הוא מבקש להביע צערו על המקרה והתחייב שזו הפעם האחרונה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 xml:space="preserve">שמעתי את טיעוני הצדדים וכפי שציינתי לעיל </w:t>
      </w:r>
      <w:r>
        <w:rPr>
          <w:rFonts w:eastAsia="Times New Roman"/>
          <w:rtl w:val="true"/>
        </w:rPr>
        <w:t>–</w:t>
      </w:r>
      <w:r>
        <w:rPr>
          <w:rFonts w:eastAsia="Times New Roman"/>
          <w:rtl w:val="true"/>
        </w:rPr>
        <w:t xml:space="preserve"> בטיעוניהם העלו את כל השיקולים הרלוונטיים לעניין ההסדר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כידוע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קיומו של הסדר אינו מייתר את הצורך לבחון האם העונש המוצע מתאים למתחמים שבית המשפט היה קובע אילו יישם את תיקון </w:t>
      </w:r>
      <w:r>
        <w:rPr>
          <w:rFonts w:eastAsia="Times New Roman"/>
        </w:rPr>
        <w:t>113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6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 xml:space="preserve"> באופן מלא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 xml:space="preserve">ראו </w:t>
      </w:r>
      <w:hyperlink r:id="rId7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4301/15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פינטו 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מדינת ישראל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[</w:t>
      </w:r>
      <w:r>
        <w:rPr>
          <w:rFonts w:eastAsia="Times New Roman"/>
        </w:rPr>
        <w:t>5.1.16</w:t>
      </w:r>
      <w:r>
        <w:rPr>
          <w:rFonts w:eastAsia="Times New Roman"/>
          <w:rtl w:val="true"/>
        </w:rPr>
        <w:t xml:space="preserve">], </w:t>
      </w:r>
      <w:r>
        <w:rPr>
          <w:rFonts w:eastAsia="Times New Roman"/>
          <w:rtl w:val="true"/>
        </w:rPr>
        <w:t xml:space="preserve">ואני סבורה נוכח פסיקה שבה עיינתי ונוכח העונש שנגזר על נאשם </w:t>
      </w:r>
      <w:r>
        <w:rPr>
          <w:rFonts w:eastAsia="Times New Roman"/>
        </w:rPr>
        <w:t>4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 מדובר בהסדר ראוי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בעניין זה אוסיף את החשיבות של עקרון אחידות הענישה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אף שאין מדובר בעיקרון שהוא חזות הכל </w:t>
      </w:r>
      <w:r>
        <w:rPr>
          <w:rFonts w:eastAsia="Times New Roman"/>
          <w:rtl w:val="true"/>
        </w:rPr>
        <w:t>(</w:t>
      </w:r>
      <w:hyperlink r:id="rId8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993/16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פלוני 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מדינת ישראל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[</w:t>
      </w:r>
      <w:r>
        <w:rPr>
          <w:rFonts w:eastAsia="Times New Roman"/>
        </w:rPr>
        <w:t>22.12.16</w:t>
      </w:r>
      <w:r>
        <w:rPr>
          <w:rFonts w:eastAsia="Times New Roman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 xml:space="preserve">ההסדר שאליו הגיעו הצדדים משקף נכונה גם את התיקון בכתב האישום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בסעיף האישום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אף כי לא בעובדות</w:t>
      </w:r>
      <w:r>
        <w:rPr>
          <w:rFonts w:eastAsia="Times New Roman"/>
          <w:rtl w:val="true"/>
        </w:rPr>
        <w:t xml:space="preserve">), </w:t>
      </w:r>
      <w:r>
        <w:rPr>
          <w:rFonts w:eastAsia="Times New Roman"/>
          <w:rtl w:val="true"/>
        </w:rPr>
        <w:t>את חומרתן של עבירות הנשק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את מידת מעורבותו של נאשם זה יחסית לנאשמים אחרים בכתב האישום ובעיקר את נסיבותיו האישיות הקשות ויוצאות הדופן של הנאשם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כמו כן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לוקח ההסדר בחשבון את העובדה שהנאשם היה נתון פיקוח אלקטרוני מזה כשלושה חודשים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נתון שגם בו יש להתחשב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לאור כל האמור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החלטתי לכבד את ההסדר ואני גוזרת על הנאשם את העונשים הבאים</w:t>
      </w:r>
      <w:r>
        <w:rPr>
          <w:rFonts w:eastAsia="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</w:rPr>
        <w:t>1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  <w:rtl w:val="true"/>
        </w:rPr>
        <w:t xml:space="preserve">מאסר בן </w:t>
      </w:r>
      <w:r>
        <w:rPr>
          <w:rFonts w:eastAsia="Times New Roman"/>
        </w:rPr>
        <w:t>7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בניכוי תקופת מעצרו של הנאשם מיום </w:t>
      </w:r>
      <w:r>
        <w:rPr>
          <w:rFonts w:eastAsia="Times New Roman"/>
        </w:rPr>
        <w:t>17.6.16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ועד </w:t>
      </w:r>
      <w:r>
        <w:rPr>
          <w:rFonts w:eastAsia="Times New Roman"/>
        </w:rPr>
        <w:t>25.11.16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  <w:rtl w:val="true"/>
        </w:rPr>
        <w:t xml:space="preserve">מאסר בן </w:t>
      </w:r>
      <w:r>
        <w:rPr>
          <w:rFonts w:eastAsia="Times New Roman"/>
        </w:rPr>
        <w:t>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אך הנאשם לא יישא עונש זה אלא אם בתוך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שנים מיום שחרורו מהמאסר יעבור עבירת נשק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  <w:rtl w:val="true"/>
        </w:rPr>
        <w:t xml:space="preserve">קנס בסך </w:t>
      </w:r>
      <w:r>
        <w:rPr>
          <w:rFonts w:eastAsia="Times New Roman"/>
        </w:rPr>
        <w:t>5,000</w:t>
      </w:r>
      <w:r>
        <w:rPr>
          <w:rFonts w:eastAsia="Times New Roman"/>
          <w:rtl w:val="true"/>
        </w:rPr>
        <w:t xml:space="preserve"> ₪, </w:t>
      </w:r>
      <w:r>
        <w:rPr>
          <w:rFonts w:eastAsia="Times New Roman"/>
          <w:rtl w:val="true"/>
        </w:rPr>
        <w:t>שישולם ב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תשלומים שווים ורצופים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החל מיום </w:t>
      </w:r>
      <w:r>
        <w:rPr>
          <w:rFonts w:eastAsia="Times New Roman"/>
        </w:rPr>
        <w:t>1.8.17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ובכל </w:t>
      </w:r>
      <w:r>
        <w:rPr>
          <w:rFonts w:eastAsia="Times New Roman"/>
        </w:rPr>
        <w:t>1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בחודשים שלאחר מכן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אי עמידה בשני תשלומים רצופים במועדם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תגרור העמדת כל יתרת הסכום לפרעון מיידי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eastAsia="Times New Roman"/>
          <w:b/>
          <w:bCs/>
        </w:rPr>
      </w:pPr>
      <w:r>
        <w:rPr>
          <w:rFonts w:eastAsia="Times New Roman"/>
          <w:b/>
          <w:b/>
          <w:bCs/>
          <w:rtl w:val="true"/>
        </w:rPr>
        <w:t>הפיקדון שהופקד ב</w:t>
      </w:r>
      <w:hyperlink r:id="rId9">
        <w:r>
          <w:rPr>
            <w:rStyle w:val="Hyperlink"/>
            <w:rFonts w:eastAsia="Times New Roman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rFonts w:eastAsia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b/>
            <w:b/>
            <w:bCs/>
            <w:color w:val="0000FF"/>
            <w:u w:val="single"/>
            <w:rtl w:val="true"/>
          </w:rPr>
          <w:t xml:space="preserve">ת </w:t>
        </w:r>
        <w:r>
          <w:rPr>
            <w:rStyle w:val="Hyperlink"/>
            <w:rFonts w:eastAsia="Times New Roman"/>
            <w:b/>
            <w:bCs/>
            <w:color w:val="0000FF"/>
            <w:u w:val="single"/>
          </w:rPr>
          <w:t>39830-07-16</w:t>
        </w:r>
      </w:hyperlink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על ידי אחיו של הנאשם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סאמר חאג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יחיא ת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 xml:space="preserve">ז </w:t>
      </w:r>
      <w:r>
        <w:rPr>
          <w:rFonts w:eastAsia="Times New Roman"/>
          <w:b/>
          <w:bCs/>
        </w:rPr>
        <w:t>xxxxxxxxx</w:t>
      </w:r>
      <w:r>
        <w:rPr>
          <w:rFonts w:eastAsia="Times New Roman"/>
          <w:b/>
          <w:b/>
          <w:bCs/>
          <w:rtl w:val="true"/>
        </w:rPr>
        <w:t>יושב אליו בהתאם לפרטים שימסור הסנגור במזכירות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וזאת לאחר שהסנגור ימציא למזכירות אישור על התייצבותו של הנאשם למאסר</w:t>
      </w:r>
      <w:r>
        <w:rPr>
          <w:rFonts w:eastAsia="Times New Roman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מכשיר הטלפון של הנאשם שמוחזק בידי המשטרה יוחזר אליו אף הוא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לאחר שהמשטרה תבצע פירמוט לטלפון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/>
          <w:bCs/>
          <w:rtl w:val="true"/>
        </w:rPr>
        <w:t xml:space="preserve">הנאשם יתייצב לנשיאת עונשו בבית מעצר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הדרים</w:t>
      </w:r>
      <w:r>
        <w:rPr>
          <w:rFonts w:eastAsia="Times New Roman"/>
          <w:b/>
          <w:bCs/>
          <w:rtl w:val="true"/>
        </w:rPr>
        <w:t xml:space="preserve">" </w:t>
      </w:r>
      <w:r>
        <w:rPr>
          <w:rFonts w:eastAsia="Times New Roman"/>
          <w:b/>
          <w:b/>
          <w:bCs/>
          <w:rtl w:val="true"/>
        </w:rPr>
        <w:t xml:space="preserve">ביום </w:t>
      </w:r>
      <w:r>
        <w:rPr>
          <w:rFonts w:eastAsia="Times New Roman"/>
          <w:b/>
          <w:bCs/>
          <w:u w:val="double"/>
        </w:rPr>
        <w:t>26.3.17</w:t>
      </w:r>
      <w:r>
        <w:rPr>
          <w:rFonts w:eastAsia="Times New Roman"/>
          <w:b/>
          <w:bCs/>
          <w:u w:val="double"/>
          <w:rtl w:val="true"/>
        </w:rPr>
        <w:t xml:space="preserve"> </w:t>
      </w:r>
      <w:r>
        <w:rPr>
          <w:rFonts w:eastAsia="Times New Roman"/>
          <w:b/>
          <w:b/>
          <w:bCs/>
          <w:u w:val="double"/>
          <w:rtl w:val="true"/>
        </w:rPr>
        <w:t xml:space="preserve">עד השעה </w:t>
      </w:r>
      <w:r>
        <w:rPr>
          <w:rFonts w:eastAsia="Times New Roman"/>
          <w:b/>
          <w:bCs/>
          <w:u w:val="double"/>
        </w:rPr>
        <w:t>10:00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או על פי החלטת שב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ס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כשברשותו תעודת זהות או דרכון</w:t>
      </w:r>
      <w:r>
        <w:rPr>
          <w:rFonts w:eastAsia="Times New Roman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/>
          <w:bCs/>
          <w:rtl w:val="true"/>
        </w:rPr>
        <w:t>הערבויות בתיק יבטיחו את התייצבותו של הנאשם לנשיאת עונשו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ואת התייצבותו לכל הליך אחר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ככל שיהיה כזה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בין בבית משפט זה ובין בבית משפט אחר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בקשר לתיק זה</w:t>
      </w:r>
      <w:r>
        <w:rPr>
          <w:rFonts w:eastAsia="Times New Roman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/>
          <w:bCs/>
          <w:rtl w:val="true"/>
        </w:rPr>
        <w:t>למען הסר ספק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כל תנאי המעצר בפיקוח אלקטרוני החלים על הנאשם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ימשיכו לחול עד כניסתו למאסר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ויחידת הפיקוח האלקטרוני בשב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 xml:space="preserve">ס תפתח לנאשם חלון ב יום </w:t>
      </w:r>
      <w:r>
        <w:rPr>
          <w:rFonts w:eastAsia="Times New Roman"/>
          <w:b/>
          <w:bCs/>
        </w:rPr>
        <w:t>26.3.17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 xml:space="preserve">בשעה </w:t>
      </w:r>
      <w:r>
        <w:rPr>
          <w:rFonts w:eastAsia="Times New Roman"/>
          <w:b/>
          <w:bCs/>
        </w:rPr>
        <w:t>07:00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על מנת לאפשר התייצבותו לנשיאת עונשו</w:t>
      </w:r>
      <w:r>
        <w:rPr>
          <w:rFonts w:eastAsia="Times New Roman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  <w:rtl w:val="true"/>
        </w:rPr>
        <w:t>&lt;</w:t>
      </w:r>
      <w:r>
        <w:rPr>
          <w:rFonts w:eastAsia="Times New Roman"/>
          <w:sz w:val="6"/>
          <w:szCs w:val="6"/>
        </w:rPr>
        <w:t>#3#</w:t>
      </w:r>
      <w:r>
        <w:rPr>
          <w:rFonts w:eastAsia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eastAsia="Times New Roman"/>
        </w:rPr>
      </w:pPr>
      <w:r>
        <w:rPr>
          <w:rFonts w:eastAsia="Times New Roman"/>
          <w:b/>
          <w:b/>
          <w:bCs/>
          <w:rtl w:val="true"/>
        </w:rPr>
        <w:t>ניתנה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והודעה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היום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כ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ד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אדר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תשע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ז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Cs/>
        </w:rPr>
        <w:t>22/03/2017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במעמד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הנוכחים</w:t>
      </w:r>
      <w:r>
        <w:rPr>
          <w:rFonts w:eastAsia="Times New Roman"/>
          <w:b/>
          <w:bCs/>
          <w:rtl w:val="true"/>
        </w:rPr>
        <w:t>.</w:t>
      </w:r>
    </w:p>
    <w:p>
      <w:pPr>
        <w:pStyle w:val="Normal"/>
        <w:ind w:end="0"/>
        <w:jc w:val="center"/>
        <w:rPr>
          <w:rFonts w:eastAsia="Times New Roman"/>
        </w:rPr>
      </w:pPr>
      <w:r>
        <w:rPr>
          <w:rFonts w:eastAsia="Times New Roman"/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spacing w:lineRule="auto" w:line="257" w:before="0" w:after="16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57" w:before="0" w:after="16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57" w:before="0" w:after="160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מיכל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נבו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David"/>
        <w:ind w:end="0"/>
        <w:jc w:val="both"/>
        <w:rPr>
          <w:rFonts w:ascii="David" w:hAnsi="David" w:eastAsia="David" w:cs="David"/>
          <w:sz w:val="6"/>
          <w:szCs w:val="6"/>
        </w:rPr>
      </w:pPr>
      <w:r>
        <w:rPr>
          <w:rFonts w:eastAsia="David" w:cs="David" w:ascii="David" w:hAnsi="David"/>
          <w:sz w:val="6"/>
          <w:szCs w:val="6"/>
          <w:rtl w:val="true"/>
        </w:rPr>
        <w:t>&lt;</w:t>
      </w:r>
      <w:r>
        <w:rPr>
          <w:rFonts w:eastAsia="David" w:cs="David" w:ascii="David" w:hAnsi="David"/>
          <w:sz w:val="6"/>
          <w:szCs w:val="6"/>
        </w:rPr>
        <w:t>#9#</w:t>
      </w:r>
      <w:r>
        <w:rPr>
          <w:rFonts w:eastAsia="David"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David"/>
        <w:ind w:end="0"/>
        <w:jc w:val="start"/>
        <w:rPr>
          <w:rFonts w:ascii="David" w:hAnsi="David" w:eastAsia="David" w:cs="David"/>
        </w:rPr>
      </w:pPr>
      <w:r>
        <w:rPr>
          <w:rFonts w:ascii="David" w:hAnsi="David" w:eastAsia="David" w:cs="David"/>
          <w:rtl w:val="true"/>
        </w:rPr>
        <w:t>לאחר ששמעתי את טיעוני הצדדים ובנסיבות העניין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אני מאשרת לנאשם חלונות כדלקמן</w:t>
      </w:r>
      <w:r>
        <w:rPr>
          <w:rFonts w:eastAsia="David" w:cs="David" w:ascii="David" w:hAnsi="David"/>
          <w:rtl w:val="true"/>
        </w:rPr>
        <w:t>:</w:t>
      </w:r>
    </w:p>
    <w:p>
      <w:pPr>
        <w:pStyle w:val="David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David"/>
        <w:ind w:end="0"/>
        <w:jc w:val="start"/>
        <w:rPr>
          <w:rFonts w:ascii="David" w:hAnsi="David" w:eastAsia="David" w:cs="David"/>
        </w:rPr>
      </w:pPr>
      <w:r>
        <w:rPr>
          <w:rFonts w:ascii="David" w:hAnsi="David" w:eastAsia="David" w:cs="David"/>
          <w:rtl w:val="true"/>
        </w:rPr>
        <w:t>היום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לאחר הדיון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 w:cs="David"/>
          <w:rtl w:val="true"/>
        </w:rPr>
        <w:t xml:space="preserve">השעה כעת </w:t>
      </w:r>
      <w:r>
        <w:rPr>
          <w:rFonts w:eastAsia="David" w:cs="David" w:ascii="David" w:hAnsi="David"/>
        </w:rPr>
        <w:t>14:55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 w:cs="David"/>
          <w:rtl w:val="true"/>
        </w:rPr>
        <w:t>יוכל הנאשם ללכת היישר מבית המשפט לרופא השיניים ששמו נזכר לעיל בטייבה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הוא יגיע לשם בדרך הקצרה ביותר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ומיד עם תום הטיפול יחזור הביתה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במשך כל הזמן הזה יהיה מפוקח על ידי מי ממפקחיו המאושרים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David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David"/>
        <w:ind w:end="0"/>
        <w:jc w:val="start"/>
        <w:rPr>
          <w:rFonts w:ascii="David" w:hAnsi="David" w:eastAsia="David" w:cs="David"/>
        </w:rPr>
      </w:pPr>
      <w:r>
        <w:rPr>
          <w:rFonts w:ascii="David" w:hAnsi="David" w:eastAsia="David" w:cs="David"/>
          <w:rtl w:val="true"/>
        </w:rPr>
        <w:t>מחר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23.3.17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יוכל לצאת בפיקוח לרכוש תרופות או כל דבר שהוא זקוק 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החל בשעה </w:t>
      </w:r>
      <w:r>
        <w:rPr>
          <w:rFonts w:eastAsia="David" w:cs="David" w:ascii="David" w:hAnsi="David"/>
        </w:rPr>
        <w:t>10:00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 xml:space="preserve">ועד השעה </w:t>
      </w:r>
      <w:r>
        <w:rPr>
          <w:rFonts w:eastAsia="David" w:cs="David" w:ascii="David" w:hAnsi="David"/>
        </w:rPr>
        <w:t>13:00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David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David"/>
        <w:ind w:end="0"/>
        <w:jc w:val="start"/>
        <w:rPr>
          <w:rFonts w:ascii="David" w:hAnsi="David" w:eastAsia="David" w:cs="David"/>
        </w:rPr>
      </w:pPr>
      <w:r>
        <w:rPr>
          <w:rFonts w:ascii="David" w:hAnsi="David" w:eastAsia="David" w:cs="David"/>
          <w:rtl w:val="true"/>
        </w:rPr>
        <w:t>ביום שישי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24.3.17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יוכל לבקר אצל אמו בביתה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 xml:space="preserve">בין השעות </w:t>
      </w:r>
      <w:r>
        <w:rPr>
          <w:rFonts w:eastAsia="David" w:cs="David" w:ascii="David" w:hAnsi="David"/>
        </w:rPr>
        <w:t>18:00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 xml:space="preserve">עד </w:t>
      </w:r>
      <w:r>
        <w:rPr>
          <w:rFonts w:eastAsia="David" w:cs="David" w:ascii="David" w:hAnsi="David"/>
        </w:rPr>
        <w:t>21:00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וישהה רק בביתה של האם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כאשר לצידו יהיו לפחות שניים מבין המפקחים שאושרו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David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David"/>
        <w:ind w:end="0"/>
        <w:jc w:val="start"/>
        <w:rPr>
          <w:rFonts w:ascii="David" w:hAnsi="David" w:eastAsia="David" w:cs="David"/>
        </w:rPr>
      </w:pPr>
      <w:r>
        <w:rPr>
          <w:rFonts w:ascii="David" w:hAnsi="David" w:eastAsia="David" w:cs="David"/>
          <w:rtl w:val="true"/>
        </w:rPr>
        <w:t>מובהר למפקחים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ואבקש שהסנגור יעביר את המסר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כי עליהם לשמור עליו מכל משמר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שלא יפר את תנאי המעצר בפיקוח אלקטרוני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לרבות איסור יצירת קשר עם מי מהגורמים שעשויים לסבך אותו או שסיבכו אותו בעבר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David"/>
        <w:ind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sz w:val="6"/>
          <w:szCs w:val="6"/>
          <w:rtl w:val="true"/>
        </w:rPr>
        <w:t>&lt;</w:t>
      </w:r>
      <w:r>
        <w:rPr>
          <w:rFonts w:eastAsia="David" w:cs="David" w:ascii="David" w:hAnsi="David"/>
          <w:sz w:val="6"/>
          <w:szCs w:val="6"/>
        </w:rPr>
        <w:t>#8#</w:t>
      </w:r>
      <w:r>
        <w:rPr>
          <w:rFonts w:eastAsia="David"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 אדר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22/03/2017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מיכל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ברק נבו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שופטת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 </w:t>
      </w:r>
      <w:r>
        <w:rPr>
          <w:rtl w:val="true"/>
        </w:rPr>
        <w:t>חן</w:t>
      </w:r>
      <w:r>
        <w:rPr>
          <w:rtl w:val="true"/>
        </w:rPr>
        <w:t xml:space="preserve">  </w:t>
      </w:r>
      <w:r>
        <w:rPr>
          <w:rtl w:val="true"/>
        </w:rPr>
        <w:t>סיקסיק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מיכל ברק נבו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39850-07-16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גואד עבד אל קאדר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David" w:hAnsi="David" w:eastAsia="David" w:cs="David"/>
      <w:sz w:val="24"/>
      <w:szCs w:val="24"/>
    </w:rPr>
  </w:style>
  <w:style w:type="character" w:styleId="CharChar">
    <w:name w:val=" Char Char"/>
    <w:qFormat/>
    <w:rPr>
      <w:rFonts w:ascii="David" w:hAnsi="David" w:eastAsia="David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99.a.1" TargetMode="External"/><Relationship Id="rId4" Type="http://schemas.openxmlformats.org/officeDocument/2006/relationships/hyperlink" Target="http://www.nevo.co.il/law/70301/499.a.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0371840" TargetMode="External"/><Relationship Id="rId8" Type="http://schemas.openxmlformats.org/officeDocument/2006/relationships/hyperlink" Target="http://www.nevo.co.il/case/22257816" TargetMode="External"/><Relationship Id="rId9" Type="http://schemas.openxmlformats.org/officeDocument/2006/relationships/hyperlink" Target="http://www.nevo.co.il/case/21478316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2018-05-08T12:54:00Z</dcterms:created>
  <dc:creator> </dc:creator>
  <dc:description/>
  <cp:keywords/>
  <dc:language>en-IL</dc:language>
  <cp:lastModifiedBy>run</cp:lastModifiedBy>
  <dcterms:modified xsi:type="dcterms:W3CDTF">2018-05-08T12:54:00Z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גואד עבד אל קאדר;עבד אל פאתח קטאווי;מוחמד חאג' יחיא;ישראל גובני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20371840;22257816;21478316</vt:lpwstr>
  </property>
  <property fmtid="{D5CDD505-2E9C-101B-9397-08002B2CF9AE}" pid="9" name="CITY">
    <vt:lpwstr>מרכז</vt:lpwstr>
  </property>
  <property fmtid="{D5CDD505-2E9C-101B-9397-08002B2CF9AE}" pid="10" name="DATE">
    <vt:lpwstr>20170322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ברק נבו</vt:lpwstr>
  </property>
  <property fmtid="{D5CDD505-2E9C-101B-9397-08002B2CF9AE}" pid="14" name="LAWLISTTMP1">
    <vt:lpwstr>70301/499.a.1</vt:lpwstr>
  </property>
  <property fmtid="{D5CDD505-2E9C-101B-9397-08002B2CF9AE}" pid="15" name="LAWYER">
    <vt:lpwstr>מירב פליישר לוי;הילאל גאבר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39850</vt:lpwstr>
  </property>
  <property fmtid="{D5CDD505-2E9C-101B-9397-08002B2CF9AE}" pid="22" name="NEWPARTB">
    <vt:lpwstr>07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390020170322</vt:lpwstr>
  </property>
  <property fmtid="{D5CDD505-2E9C-101B-9397-08002B2CF9AE}" pid="34" name="TYPE_N_DATE">
    <vt:lpwstr>39020170322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