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39941-11-19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אילה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אדללאו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אילה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וולף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384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רקע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8" w:name="ABSTRACT_START"/>
      <w:bookmarkEnd w:id="8"/>
      <w:r>
        <w:rPr>
          <w:rtl w:val="true"/>
        </w:rPr>
        <w:t xml:space="preserve">הנאשם הורשע בהתאם להודאתו בעובדות כתב האישום המתוקן בעבירה של </w:t>
      </w:r>
      <w:r>
        <w:rPr>
          <w:b/>
          <w:b/>
          <w:bCs/>
          <w:rtl w:val="true"/>
        </w:rPr>
        <w:t>גניבת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9" w:name="ABSTRACT_END"/>
      <w:bookmarkEnd w:id="9"/>
      <w:r>
        <w:rPr>
          <w:rtl w:val="true"/>
        </w:rPr>
        <w:t>על פי המתואר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10.11.19</w:t>
      </w:r>
      <w:r>
        <w:rPr>
          <w:rtl w:val="true"/>
        </w:rPr>
        <w:t xml:space="preserve"> </w:t>
      </w:r>
      <w:r>
        <w:rPr>
          <w:rtl w:val="true"/>
        </w:rPr>
        <w:t>בלילה הנאשם ושלושה מחבריו הגיעו למועדון בעיר רחובות</w:t>
      </w:r>
      <w:r>
        <w:rPr>
          <w:rtl w:val="true"/>
        </w:rPr>
        <w:t xml:space="preserve">. </w:t>
      </w:r>
      <w:r>
        <w:rPr>
          <w:rtl w:val="true"/>
        </w:rPr>
        <w:t xml:space="preserve">באותה עת עבד במועדון מאבטח ששימש כאחראי האבטחה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המאבטח</w:t>
      </w:r>
      <w:r>
        <w:rPr>
          <w:rtl w:val="true"/>
        </w:rPr>
        <w:t xml:space="preserve">") </w:t>
      </w:r>
      <w:r>
        <w:rPr>
          <w:rtl w:val="true"/>
        </w:rPr>
        <w:t xml:space="preserve">שהיה חמוש באקדח מסוג יריחו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האקדח</w:t>
      </w:r>
      <w:r>
        <w:rPr>
          <w:rtl w:val="true"/>
        </w:rPr>
        <w:t xml:space="preserve">"). </w:t>
      </w:r>
      <w:r>
        <w:rPr>
          <w:rtl w:val="true"/>
        </w:rPr>
        <w:t xml:space="preserve">בשעה </w:t>
      </w:r>
      <w:r>
        <w:rPr/>
        <w:t>4:15</w:t>
      </w:r>
      <w:r>
        <w:rPr>
          <w:rtl w:val="true"/>
        </w:rPr>
        <w:t xml:space="preserve"> </w:t>
      </w:r>
      <w:r>
        <w:rPr>
          <w:rtl w:val="true"/>
        </w:rPr>
        <w:t>המאבטח נכנס אל תוך המועדון כדי להוציא מהמקום בליין שניסה לקחת ללא רשות בקבוק שתייה מהבר</w:t>
      </w:r>
      <w:r>
        <w:rPr>
          <w:rtl w:val="true"/>
        </w:rPr>
        <w:t xml:space="preserve">. </w:t>
      </w:r>
      <w:r>
        <w:rPr>
          <w:rtl w:val="true"/>
        </w:rPr>
        <w:t>מספר בליינים במקום החלו להכות את המאבטח</w:t>
      </w:r>
      <w:r>
        <w:rPr>
          <w:rtl w:val="true"/>
        </w:rPr>
        <w:t xml:space="preserve">, </w:t>
      </w:r>
      <w:r>
        <w:rPr>
          <w:rtl w:val="true"/>
        </w:rPr>
        <w:t>וכתוצאה מכך התפתחה קטטה במקום שבמסגרתה מספר רב של בליינים החלו להכות את המאבטחים שעבדו במועדון וזרקו לעברם בקבוקים</w:t>
      </w:r>
      <w:r>
        <w:rPr>
          <w:rtl w:val="true"/>
        </w:rPr>
        <w:t xml:space="preserve">, </w:t>
      </w:r>
      <w:r>
        <w:rPr>
          <w:rtl w:val="true"/>
        </w:rPr>
        <w:t>ארגזים</w:t>
      </w:r>
      <w:r>
        <w:rPr>
          <w:rtl w:val="true"/>
        </w:rPr>
        <w:t xml:space="preserve">, </w:t>
      </w:r>
      <w:r>
        <w:rPr>
          <w:rtl w:val="true"/>
        </w:rPr>
        <w:t>שולחנות וכיסאות</w:t>
      </w:r>
      <w:r>
        <w:rPr>
          <w:rtl w:val="true"/>
        </w:rPr>
        <w:t xml:space="preserve">. </w:t>
      </w:r>
      <w:r>
        <w:rPr>
          <w:rtl w:val="true"/>
        </w:rPr>
        <w:t>במהלך הקטטה אחד הבליינים אחז ביחד עם אחרים בחלק גופו האחורי של המאבטח</w:t>
      </w:r>
      <w:r>
        <w:rPr>
          <w:rtl w:val="true"/>
        </w:rPr>
        <w:t xml:space="preserve">, </w:t>
      </w:r>
      <w:r>
        <w:rPr>
          <w:rtl w:val="true"/>
        </w:rPr>
        <w:t>והכניס את אצבעותיו לפיו ולעיניו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 ניצל את שעת הכושר ובמהלך המהומה שהתרחשה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נטל את האקדח שניתק מהמאבטח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החביאו בתוך מכנסיו באזור חלציו ויצא מהמועדון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מיד לאחר מכן הנאשם נסע לביתו בקרית מלאכי ובכל אותה העת הוא נשא על גופו את האקדח המוסלק בתוך מכנסיו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בבוקרו של אותו 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בשעה </w:t>
      </w:r>
      <w:r>
        <w:rPr>
          <w:b/>
          <w:bCs/>
        </w:rPr>
        <w:t>11:00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החזיק הנאשם בביתו באקדח כשהוא מוסלק בתוך גרב שחור ובתוכו מחסנית תואמת שהכילה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הצדדים הגיעו להסדר דיוני</w:t>
      </w:r>
      <w:r>
        <w:rPr>
          <w:rtl w:val="true"/>
        </w:rPr>
        <w:t xml:space="preserve">, </w:t>
      </w:r>
      <w:r>
        <w:rPr>
          <w:rtl w:val="true"/>
        </w:rPr>
        <w:t>לפיו הנאשם הודה והורשע בכתב האישום המתוקן והופנה לקבלת תסקיר שירות המבחן</w:t>
      </w:r>
      <w:r>
        <w:rPr>
          <w:rtl w:val="true"/>
        </w:rPr>
        <w:t xml:space="preserve">, </w:t>
      </w:r>
      <w:r>
        <w:rPr>
          <w:rtl w:val="true"/>
        </w:rPr>
        <w:t>ללא הסכמה לעונש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 שירות המבחן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על פי תסקיר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הנאשם בן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רווק המתגורר בבית משפחתו</w:t>
      </w:r>
      <w:r>
        <w:rPr>
          <w:rtl w:val="true"/>
        </w:rPr>
        <w:t xml:space="preserve">. </w:t>
      </w:r>
      <w:r>
        <w:rPr>
          <w:rtl w:val="true"/>
        </w:rPr>
        <w:t xml:space="preserve">הנאשם שולב בגיל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בפנימייה</w:t>
      </w:r>
      <w:r>
        <w:rPr>
          <w:rtl w:val="true"/>
        </w:rPr>
        <w:t xml:space="preserve">, </w:t>
      </w:r>
      <w:r>
        <w:rPr>
          <w:rtl w:val="true"/>
        </w:rPr>
        <w:t xml:space="preserve">במסגרתה השלים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. </w:t>
      </w:r>
      <w:r>
        <w:rPr>
          <w:rtl w:val="true"/>
        </w:rPr>
        <w:t>התגייס לצבא ואולם הוא שוחרר מהשירות על רקע אי התאמה לאחר שריצה עונש מאסר בגין עריקות מהשירות</w:t>
      </w:r>
      <w:r>
        <w:rPr>
          <w:rtl w:val="true"/>
        </w:rPr>
        <w:t xml:space="preserve">. </w:t>
      </w:r>
      <w:r>
        <w:rPr>
          <w:rtl w:val="true"/>
        </w:rPr>
        <w:t>לאחר שחרורו מהצבא עבד במקומות שונים ולא הצליח לשמור על רצף תעסוקתי</w:t>
      </w:r>
      <w:r>
        <w:rPr>
          <w:rtl w:val="true"/>
        </w:rPr>
        <w:t xml:space="preserve">. </w:t>
      </w:r>
      <w:r>
        <w:rPr>
          <w:rtl w:val="true"/>
        </w:rPr>
        <w:t>תיאר אורח חיים בלייני לאורך השנים</w:t>
      </w:r>
      <w:r>
        <w:rPr>
          <w:rtl w:val="true"/>
        </w:rPr>
        <w:t xml:space="preserve">, </w:t>
      </w:r>
      <w:r>
        <w:rPr>
          <w:rtl w:val="true"/>
        </w:rPr>
        <w:t>כשהוא נוהג לבלות במועדונים עם חבריו מאזור מגוריו</w:t>
      </w:r>
      <w:r>
        <w:rPr>
          <w:rtl w:val="true"/>
        </w:rPr>
        <w:t xml:space="preserve">. </w:t>
      </w:r>
      <w:r>
        <w:rPr>
          <w:rtl w:val="true"/>
        </w:rPr>
        <w:t xml:space="preserve">בגיל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החל לצרוך אלכוהול בנסיבות חברתיות</w:t>
      </w:r>
      <w:r>
        <w:rPr>
          <w:rtl w:val="true"/>
        </w:rPr>
        <w:t xml:space="preserve">, </w:t>
      </w:r>
      <w:r>
        <w:rPr>
          <w:rtl w:val="true"/>
        </w:rPr>
        <w:t xml:space="preserve">בגיל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הורשע לראשונה בגין עבירת אלימות שהתרחשה בעת שהיה תחת השפעת אלכוהול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שתיית האלכוהול התמתנה והוא המשיך לשתות בעיקר במסיבות שאותן פקד בקביעות</w:t>
      </w:r>
      <w:r>
        <w:rPr>
          <w:rtl w:val="true"/>
        </w:rPr>
        <w:t xml:space="preserve">. </w:t>
      </w:r>
      <w:r>
        <w:rPr>
          <w:rtl w:val="true"/>
        </w:rPr>
        <w:t xml:space="preserve">בנוסף מסר הנאשם שבגיל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החל לצרוך סמים מסוג קנאביס ועד גיל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צרך באופן יומיומי</w:t>
      </w:r>
      <w:r>
        <w:rPr>
          <w:rtl w:val="true"/>
        </w:rPr>
        <w:t xml:space="preserve">. </w:t>
      </w:r>
      <w:r>
        <w:rPr>
          <w:rtl w:val="true"/>
        </w:rPr>
        <w:t>בהמשך החל לצרוך סמים מסוג אקסטזי במהלך בילויים וסם מסוג קריסטל בתדירות של כפעם בשבועיים עד למעצרו</w:t>
      </w:r>
      <w:r>
        <w:rPr>
          <w:rtl w:val="true"/>
        </w:rPr>
        <w:t xml:space="preserve">. </w:t>
      </w:r>
      <w:r>
        <w:rPr>
          <w:rtl w:val="true"/>
        </w:rPr>
        <w:t>עברו הפלילי כולל חמש הרשעות קודמות בגין ביצוע עבירות רכוש</w:t>
      </w:r>
      <w:r>
        <w:rPr>
          <w:rtl w:val="true"/>
        </w:rPr>
        <w:t xml:space="preserve">, </w:t>
      </w:r>
      <w:r>
        <w:rPr>
          <w:rtl w:val="true"/>
        </w:rPr>
        <w:t>אלימות והיעדר מהשירות</w:t>
      </w:r>
      <w:r>
        <w:rPr>
          <w:rtl w:val="true"/>
        </w:rPr>
        <w:t xml:space="preserve">. </w:t>
      </w:r>
      <w:r>
        <w:rPr>
          <w:rtl w:val="true"/>
        </w:rPr>
        <w:t>הנאשם ייחס את מעורבותו בפלילים בעבר לחברה עמה התרועע ולשימוש בחומרים משני תודעה</w:t>
      </w:r>
      <w:r>
        <w:rPr>
          <w:rtl w:val="true"/>
        </w:rPr>
        <w:t xml:space="preserve">. </w:t>
      </w:r>
      <w:r>
        <w:rPr>
          <w:rtl w:val="true"/>
        </w:rPr>
        <w:t>הוא הופנה בעבר לשירות המבחן אולם התקשה לשתף פעולה</w:t>
      </w:r>
      <w:r>
        <w:rPr>
          <w:rtl w:val="true"/>
        </w:rPr>
        <w:t xml:space="preserve">. </w:t>
      </w:r>
      <w:r>
        <w:rPr>
          <w:rtl w:val="true"/>
        </w:rPr>
        <w:t>במסגרת הליך המעצר</w:t>
      </w:r>
      <w:r>
        <w:rPr>
          <w:rtl w:val="true"/>
        </w:rPr>
        <w:t xml:space="preserve">, </w:t>
      </w:r>
      <w:r>
        <w:rPr>
          <w:rtl w:val="true"/>
        </w:rPr>
        <w:t>הנאשם שוחרר בפיקוח אלקטרוני והיה בצו פיקוח מעצר</w:t>
      </w:r>
      <w:r>
        <w:rPr>
          <w:rtl w:val="true"/>
        </w:rPr>
        <w:t xml:space="preserve">, </w:t>
      </w:r>
      <w:r>
        <w:rPr>
          <w:rtl w:val="true"/>
        </w:rPr>
        <w:t>שבמהלכו התקיימו עמו פגישות מעקביות ומסר בדיקות שתן שנמצאו ללא שרידי סם</w:t>
      </w:r>
      <w:r>
        <w:rPr>
          <w:rtl w:val="true"/>
        </w:rPr>
        <w:t xml:space="preserve">. </w:t>
      </w:r>
      <w:r>
        <w:rPr>
          <w:rtl w:val="true"/>
        </w:rPr>
        <w:t>בשל מגבלות הקורונה</w:t>
      </w:r>
      <w:r>
        <w:rPr>
          <w:rtl w:val="true"/>
        </w:rPr>
        <w:t xml:space="preserve">, </w:t>
      </w:r>
      <w:r>
        <w:rPr>
          <w:rtl w:val="true"/>
        </w:rPr>
        <w:t>הוא לא שולב בקבוצת עצורי בית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ביחסו לעבירה תיאר שבאותו ערב יצא לבלות עם חבריו במועדון</w:t>
      </w:r>
      <w:r>
        <w:rPr>
          <w:rtl w:val="true"/>
        </w:rPr>
        <w:t xml:space="preserve">, </w:t>
      </w:r>
      <w:r>
        <w:rPr>
          <w:rtl w:val="true"/>
        </w:rPr>
        <w:t>במהלך הבילוי שתה אלכוהול</w:t>
      </w:r>
      <w:r>
        <w:rPr>
          <w:rtl w:val="true"/>
        </w:rPr>
        <w:t xml:space="preserve">. </w:t>
      </w:r>
      <w:r>
        <w:rPr>
          <w:rtl w:val="true"/>
        </w:rPr>
        <w:t>לאחר שפרצה קטטה במועדון בין מבלים לבין מאבטחים</w:t>
      </w:r>
      <w:r>
        <w:rPr>
          <w:rtl w:val="true"/>
        </w:rPr>
        <w:t xml:space="preserve">, </w:t>
      </w:r>
      <w:r>
        <w:rPr>
          <w:rtl w:val="true"/>
        </w:rPr>
        <w:t>תחילה ניסה להפריד בין הניצים ובהמשך הבחין באקדח צמוד לגופו של אחד המאבטחים והחליט ליטול אותו ממנו</w:t>
      </w:r>
      <w:r>
        <w:rPr>
          <w:rtl w:val="true"/>
        </w:rPr>
        <w:t xml:space="preserve">. </w:t>
      </w:r>
      <w:r>
        <w:rPr>
          <w:rtl w:val="true"/>
        </w:rPr>
        <w:t>הנאשם התקשה להסביר את המניע למעשיו וייחס זאת להשפעת האלכוהול</w:t>
      </w:r>
      <w:r>
        <w:rPr>
          <w:rtl w:val="true"/>
        </w:rPr>
        <w:t xml:space="preserve">. </w:t>
      </w:r>
      <w:r>
        <w:rPr>
          <w:rtl w:val="true"/>
        </w:rPr>
        <w:t>לדבריו נסע לביתו עם האקדח ונרדם כאשר האקדח לצידו ובבוקר נעצר בביתו לאחר שבעל המועדון זיהה אותו במצלמות האבטחה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שירות המבחן התרשם שהנאשם מבין את חומרת מעשיו וחש בושה וחרטה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אולם הוא מתקשה לבחון באופן מעמיק את דפוסיו המכשילים שהביאו אותו למעורבות באירוע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הנאשם הביע נכונות לבחון את דפוסי השימוש בחומרים פסיכו</w:t>
      </w:r>
      <w:r>
        <w:rPr>
          <w:rtl w:val="true"/>
        </w:rPr>
        <w:t>-</w:t>
      </w:r>
      <w:r>
        <w:rPr>
          <w:rtl w:val="true"/>
        </w:rPr>
        <w:t xml:space="preserve">אקטיביים והופנה למרכז </w:t>
      </w:r>
      <w:r>
        <w:rPr>
          <w:rtl w:val="true"/>
        </w:rPr>
        <w:t>"</w:t>
      </w:r>
      <w:r>
        <w:rPr>
          <w:rtl w:val="true"/>
        </w:rPr>
        <w:t>חוסן</w:t>
      </w:r>
      <w:r>
        <w:rPr>
          <w:rtl w:val="true"/>
        </w:rPr>
        <w:t xml:space="preserve">" </w:t>
      </w:r>
      <w:r>
        <w:rPr>
          <w:rtl w:val="true"/>
        </w:rPr>
        <w:t xml:space="preserve">לטיפול במכורים בעיר מגוריו בסוף חודש אוגוסט </w:t>
      </w:r>
      <w:r>
        <w:rPr/>
        <w:t>20</w:t>
      </w:r>
      <w:r>
        <w:rPr>
          <w:rtl w:val="true"/>
        </w:rPr>
        <w:t xml:space="preserve">'. </w:t>
      </w:r>
      <w:r>
        <w:rPr>
          <w:rtl w:val="true"/>
        </w:rPr>
        <w:t xml:space="preserve">בחודש אוקטובר </w:t>
      </w:r>
      <w:r>
        <w:rPr/>
        <w:t>20</w:t>
      </w:r>
      <w:r>
        <w:rPr>
          <w:rtl w:val="true"/>
        </w:rPr>
        <w:t xml:space="preserve">' </w:t>
      </w:r>
      <w:r>
        <w:rPr>
          <w:rtl w:val="true"/>
        </w:rPr>
        <w:t>התקיימה בעניינו ועדה שקבעה תכנית טיפול הכוללת מפגש פרטני פעם בשבוע</w:t>
      </w:r>
      <w:r>
        <w:rPr>
          <w:rtl w:val="true"/>
        </w:rPr>
        <w:t xml:space="preserve">, </w:t>
      </w:r>
      <w:r>
        <w:rPr>
          <w:rtl w:val="true"/>
        </w:rPr>
        <w:t>בדיקות שתן וטיפול קבוצתי כאשר המגבלות יאפשרו</w:t>
      </w:r>
      <w:r>
        <w:rPr>
          <w:rtl w:val="true"/>
        </w:rPr>
        <w:t xml:space="preserve">, </w:t>
      </w:r>
      <w:r>
        <w:rPr>
          <w:rtl w:val="true"/>
        </w:rPr>
        <w:t>וזאת על רקע ההתרשמות מהבנה מצידו להשפעות ההרסניות של צריכת חומרים על מצבו וכי נמצא בשלב התחלתי של ביסוס אמון בקשר הטיפולי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 xml:space="preserve">בסיכום התייחס שירות המבחן </w:t>
      </w:r>
      <w:r>
        <w:rPr>
          <w:b/>
          <w:b/>
          <w:bCs/>
          <w:rtl w:val="true"/>
        </w:rPr>
        <w:t>לגורמי הסיכון</w:t>
      </w:r>
      <w:r>
        <w:rPr>
          <w:rtl w:val="true"/>
        </w:rPr>
        <w:t xml:space="preserve"> להישנות ביצוע עבירות ובכללם חומרת העבירה</w:t>
      </w:r>
      <w:r>
        <w:rPr>
          <w:rtl w:val="true"/>
        </w:rPr>
        <w:t xml:space="preserve">, </w:t>
      </w:r>
      <w:r>
        <w:rPr>
          <w:rtl w:val="true"/>
        </w:rPr>
        <w:t>קשיי הסתגלות והתמדה במישורים השונים</w:t>
      </w:r>
      <w:r>
        <w:rPr>
          <w:rtl w:val="true"/>
        </w:rPr>
        <w:t xml:space="preserve">, </w:t>
      </w:r>
      <w:r>
        <w:rPr>
          <w:rtl w:val="true"/>
        </w:rPr>
        <w:t>נטייתו לפריצת גבולות וקשייו בקבלת סמכות</w:t>
      </w:r>
      <w:r>
        <w:rPr>
          <w:rtl w:val="true"/>
        </w:rPr>
        <w:t xml:space="preserve">, </w:t>
      </w:r>
      <w:r>
        <w:rPr>
          <w:rtl w:val="true"/>
        </w:rPr>
        <w:t>קשריו השוליים</w:t>
      </w:r>
      <w:r>
        <w:rPr>
          <w:rtl w:val="true"/>
        </w:rPr>
        <w:t xml:space="preserve">, </w:t>
      </w:r>
      <w:r>
        <w:rPr>
          <w:rtl w:val="true"/>
        </w:rPr>
        <w:t>וניהול אורח חיים בלייני מגיל צעיר תוך שמתקשה בנטילת אחריות לתפקידים התואמים את גילו</w:t>
      </w:r>
      <w:r>
        <w:rPr>
          <w:rtl w:val="true"/>
        </w:rPr>
        <w:t xml:space="preserve">. </w:t>
      </w:r>
      <w:r>
        <w:rPr>
          <w:rtl w:val="true"/>
        </w:rPr>
        <w:t>בנוסף מנה שירות המבחן את התמכרותו לסמים ולאלכוהול והתרשמותם כי דפוסים תוקפניים ואלימים מועצמים כאשר הוא תחת השפעת חומרים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כגורמי סיכוי לשיקום</w:t>
      </w:r>
      <w:r>
        <w:rPr>
          <w:rtl w:val="true"/>
        </w:rPr>
        <w:t xml:space="preserve"> מנה שירות המבחן את היותו בעל מערכת תמיכה משפחתית</w:t>
      </w:r>
      <w:r>
        <w:rPr>
          <w:rtl w:val="true"/>
        </w:rPr>
        <w:t xml:space="preserve">, </w:t>
      </w:r>
      <w:r>
        <w:rPr>
          <w:rtl w:val="true"/>
        </w:rPr>
        <w:t>התקופה הממושכת בה היה נתון בתנאים מגבילים שהיוותה גורם מחדד גבולות</w:t>
      </w:r>
      <w:r>
        <w:rPr>
          <w:rtl w:val="true"/>
        </w:rPr>
        <w:t xml:space="preserve">, </w:t>
      </w:r>
      <w:r>
        <w:rPr>
          <w:rtl w:val="true"/>
        </w:rPr>
        <w:t>שיתוף הפעולה מצדו וההתרשמות בהתקדמות יכולתו להתבוננות פנימית</w:t>
      </w:r>
      <w:r>
        <w:rPr>
          <w:rtl w:val="true"/>
        </w:rPr>
        <w:t xml:space="preserve">. </w:t>
      </w:r>
      <w:r>
        <w:rPr>
          <w:rtl w:val="true"/>
        </w:rPr>
        <w:t>לפיכך שירות המבחן המליץ על דחיית הדיון בעניינו לשם בחינת התקדמותו בטיפול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b/>
          <w:b/>
          <w:bCs/>
          <w:rtl w:val="true"/>
        </w:rPr>
        <w:t xml:space="preserve">בתסקיר המשלים דווח שירות המבחן כי הנאשם המשיך בטיפול במרכז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חוסן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הכולל פגישה פרטנית שבועית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השתתפות בקבוצה טיפולית ובדיקות שתן</w:t>
      </w:r>
      <w:r>
        <w:rPr>
          <w:rtl w:val="true"/>
        </w:rPr>
        <w:t xml:space="preserve">. </w:t>
      </w:r>
      <w:r>
        <w:rPr>
          <w:rtl w:val="true"/>
        </w:rPr>
        <w:t>גורמי הטיפול במרכז מסרו שהנאשם משתף פעולה</w:t>
      </w:r>
      <w:r>
        <w:rPr>
          <w:rtl w:val="true"/>
        </w:rPr>
        <w:t xml:space="preserve">, </w:t>
      </w:r>
      <w:r>
        <w:rPr>
          <w:rtl w:val="true"/>
        </w:rPr>
        <w:t>מגיע למפגשים בקביעות ובדיקות השתן נמצאו ללא שרידי סם</w:t>
      </w:r>
      <w:r>
        <w:rPr>
          <w:rtl w:val="true"/>
        </w:rPr>
        <w:t xml:space="preserve">. </w:t>
      </w:r>
      <w:r>
        <w:rPr>
          <w:rtl w:val="true"/>
        </w:rPr>
        <w:t>במפגשים עמו הנאשם משתף אודות מצבי האישי והרגשי</w:t>
      </w:r>
      <w:r>
        <w:rPr>
          <w:rtl w:val="true"/>
        </w:rPr>
        <w:t xml:space="preserve">, </w:t>
      </w:r>
      <w:r>
        <w:rPr>
          <w:rtl w:val="true"/>
        </w:rPr>
        <w:t>וניכרת הבנה והפנמה של מצבו</w:t>
      </w:r>
      <w:r>
        <w:rPr>
          <w:rtl w:val="true"/>
        </w:rPr>
        <w:t xml:space="preserve">, </w:t>
      </w:r>
      <w:r>
        <w:rPr>
          <w:rtl w:val="true"/>
        </w:rPr>
        <w:t>מגלה רצון עז לשפר את חייו כאשר הוא מבין שעליו לשנות הרגלי חיים ולמצוא מקום עבודה קבוע</w:t>
      </w:r>
      <w:r>
        <w:rPr>
          <w:rtl w:val="true"/>
        </w:rPr>
        <w:t xml:space="preserve">. </w:t>
      </w:r>
      <w:r>
        <w:rPr>
          <w:rtl w:val="true"/>
        </w:rPr>
        <w:t>הוא הופנה למרכז בו הוא עתיד להתחיל הליך של ליווי לתעסוקה מקצועית</w:t>
      </w:r>
      <w:r>
        <w:rPr>
          <w:rtl w:val="true"/>
        </w:rPr>
        <w:t xml:space="preserve">, </w:t>
      </w:r>
      <w:r>
        <w:rPr>
          <w:rtl w:val="true"/>
        </w:rPr>
        <w:t>יופנה לקורס מקצועי ולתעסוקה מתאימה</w:t>
      </w:r>
      <w:r>
        <w:rPr>
          <w:rtl w:val="true"/>
        </w:rPr>
        <w:t xml:space="preserve">. </w:t>
      </w:r>
      <w:r>
        <w:rPr>
          <w:rtl w:val="true"/>
        </w:rPr>
        <w:t>הנאשם מסר שחש נתרם מהטיפול והביע תובנות לגבי כשלים בהתנהלותו בעבר ובשאיפותיו לנהל אורח חיים נורמטיבי ועצמאי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הנאשם הביע מוטיבציה להמשך הטיפול במסגרת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חוסן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שירות המבחן המליץ להטיל על הנאשם צו מבחן למשך שנה לצד צו 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צ בהיקף של </w:t>
      </w:r>
      <w:r>
        <w:rPr>
          <w:b/>
          <w:bCs/>
        </w:rPr>
        <w:t>260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בתסקיר עדכון שהוגש לאחר הטיעונים לעונש ציין שירות המבחן שהנאשם מתמיד בהגעתו למרכז חוסן</w:t>
      </w:r>
      <w:r>
        <w:rPr>
          <w:rtl w:val="true"/>
        </w:rPr>
        <w:t xml:space="preserve">, </w:t>
      </w:r>
      <w:r>
        <w:rPr>
          <w:rtl w:val="true"/>
        </w:rPr>
        <w:t>מגיע בזמן</w:t>
      </w:r>
      <w:r>
        <w:rPr>
          <w:rtl w:val="true"/>
        </w:rPr>
        <w:t xml:space="preserve">, </w:t>
      </w:r>
      <w:r>
        <w:rPr>
          <w:rtl w:val="true"/>
        </w:rPr>
        <w:t>נותן אמון בקשר הטיפולי ומצליח לבטא את מחשבותיו ורגשותיו</w:t>
      </w:r>
      <w:r>
        <w:rPr>
          <w:rtl w:val="true"/>
        </w:rPr>
        <w:t xml:space="preserve">. </w:t>
      </w:r>
      <w:r>
        <w:rPr>
          <w:rtl w:val="true"/>
        </w:rPr>
        <w:t>הנאשם משתף בקורותיו</w:t>
      </w:r>
      <w:r>
        <w:rPr>
          <w:rtl w:val="true"/>
        </w:rPr>
        <w:t xml:space="preserve">, </w:t>
      </w:r>
      <w:r>
        <w:rPr>
          <w:rtl w:val="true"/>
        </w:rPr>
        <w:t>מפגין מוטיבציה לעריכת שינוי ומדווח על התרחקות מסביבתו החברתית</w:t>
      </w:r>
      <w:r>
        <w:rPr>
          <w:rtl w:val="true"/>
        </w:rPr>
        <w:t xml:space="preserve">. </w:t>
      </w:r>
      <w:r>
        <w:rPr>
          <w:rtl w:val="true"/>
        </w:rPr>
        <w:t>להתרשמות גורמי הטיפול הנאשם החל להאמין בעצמו וביכולתו לערוך שינוי במצבו ורואה חשיבות בשמירת ניקיונו מסמים</w:t>
      </w:r>
      <w:r>
        <w:rPr>
          <w:rtl w:val="true"/>
        </w:rPr>
        <w:t xml:space="preserve">. </w:t>
      </w:r>
      <w:r>
        <w:rPr>
          <w:rtl w:val="true"/>
        </w:rPr>
        <w:t>שירות המבחן שב על המלצתו להטיל על הנאשם צו מבחן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-1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 לעונש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>מכתב מאת עו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ס אסנת שמואל </w:t>
      </w:r>
      <w:r>
        <w:rPr>
          <w:b/>
          <w:b/>
          <w:bCs/>
          <w:rtl w:val="true"/>
          <w:lang w:eastAsia="he-IL"/>
        </w:rPr>
        <w:t>מהיחידה לטיפול בהתמכרויות</w:t>
      </w:r>
      <w:r>
        <w:rPr>
          <w:rtl w:val="true"/>
          <w:lang w:eastAsia="he-IL"/>
        </w:rPr>
        <w:t xml:space="preserve"> בקרית מלאכי מיום </w:t>
      </w:r>
      <w:r>
        <w:rPr>
          <w:lang w:eastAsia="he-IL"/>
        </w:rPr>
        <w:t>4.1.21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/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 xml:space="preserve">ממנו עולה שהנאשם מוכר ליחידה מיום </w:t>
      </w:r>
      <w:r>
        <w:rPr>
          <w:lang w:eastAsia="he-IL"/>
        </w:rPr>
        <w:t>30.8.20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הופנה על ידי שירות המבחן לצורך אבחון ובחינת דרכי טיפול</w:t>
      </w:r>
      <w:r>
        <w:rPr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הנאשם השתלב ביחידה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משתף פעולה באופן מלא עם גורמי הטיפול בתוכנית הכוללת טיפול פרטני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טיפול קבוצתי ובדיקת שתן שבועית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הנאשם מגיע באופן קבוע לכל המפגשים ומוסר בדיקות שתן נקיות מחומרים פסיכו</w:t>
      </w:r>
      <w:r>
        <w:rPr>
          <w:b/>
          <w:bCs/>
          <w:rtl w:val="true"/>
          <w:lang w:eastAsia="he-IL"/>
        </w:rPr>
        <w:t>-</w:t>
      </w:r>
      <w:r>
        <w:rPr>
          <w:b/>
          <w:b/>
          <w:bCs/>
          <w:rtl w:val="true"/>
          <w:lang w:eastAsia="he-IL"/>
        </w:rPr>
        <w:t>אקטיביים</w:t>
      </w:r>
      <w:r>
        <w:rPr>
          <w:rtl w:val="true"/>
          <w:lang w:eastAsia="he-IL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איריס פיקר</w:t>
      </w:r>
      <w:r>
        <w:rPr>
          <w:rtl w:val="true"/>
        </w:rPr>
        <w:t xml:space="preserve">, </w:t>
      </w:r>
      <w:r>
        <w:rPr>
          <w:rtl w:val="true"/>
        </w:rPr>
        <w:t>הערך החברתי שנפגע בעבירה הוא הגנה על ביטחון הציבור</w:t>
      </w:r>
      <w:r>
        <w:rPr>
          <w:rtl w:val="true"/>
        </w:rPr>
        <w:t xml:space="preserve">, </w:t>
      </w:r>
      <w:r>
        <w:rPr>
          <w:rtl w:val="true"/>
        </w:rPr>
        <w:t>מדובר בעבירות שמעלות סיכון לפגיעה בגוף ובנפש</w:t>
      </w:r>
      <w:r>
        <w:rPr>
          <w:rtl w:val="true"/>
        </w:rPr>
        <w:t xml:space="preserve">, </w:t>
      </w:r>
      <w:r>
        <w:rPr>
          <w:rtl w:val="true"/>
        </w:rPr>
        <w:t>יש חשש לתאונות שעלולות להיגרם מידי המחזיק בנשק וחשש שהנשק יגיע לידיהם של אחיו הקטנים של הנאשם שגרים באותו הבית</w:t>
      </w:r>
      <w:r>
        <w:rPr>
          <w:rtl w:val="true"/>
        </w:rPr>
        <w:t xml:space="preserve">, </w:t>
      </w:r>
      <w:r>
        <w:rPr>
          <w:rtl w:val="true"/>
        </w:rPr>
        <w:t>כמו גם שיועבר לגורמים עברייניים ולגורמי טרור</w:t>
      </w:r>
      <w:r>
        <w:rPr>
          <w:rtl w:val="true"/>
        </w:rPr>
        <w:t xml:space="preserve">. </w:t>
      </w:r>
      <w:r>
        <w:rPr>
          <w:rtl w:val="true"/>
        </w:rPr>
        <w:t xml:space="preserve">העונש הקבוע בצד העבירה הוא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הנאשם נטל נשק מגורם אכיפתי המחזיק נשק כדין</w:t>
      </w:r>
      <w:r>
        <w:rPr>
          <w:rtl w:val="true"/>
        </w:rPr>
        <w:t xml:space="preserve">, </w:t>
      </w:r>
      <w:r>
        <w:rPr>
          <w:rtl w:val="true"/>
        </w:rPr>
        <w:t>נשא על גופו את האקדח והחזיק אותו בביתו</w:t>
      </w:r>
      <w:r>
        <w:rPr>
          <w:rtl w:val="true"/>
        </w:rPr>
        <w:t xml:space="preserve">. </w:t>
      </w:r>
      <w:r>
        <w:rPr>
          <w:rtl w:val="true"/>
        </w:rPr>
        <w:t>עבירות הנשק הן מכת אזור</w:t>
      </w:r>
      <w:r>
        <w:rPr>
          <w:rtl w:val="true"/>
        </w:rPr>
        <w:t xml:space="preserve">, </w:t>
      </w:r>
      <w:r>
        <w:rPr>
          <w:rtl w:val="true"/>
        </w:rPr>
        <w:t>ואין מקום להבחין בין מגזרים שונים בעבירות אלה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עתרה למתחם עונש הנע בין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ועד 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בתסקיר הראשון ציין שירות המבחן שהנאשם סירב בשנים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להשתלב בהליכי טיפול וכי הוא מתקשה לבחון באופן מעמיק דפוסים מכשילים שהביאו אותו לביצוע העבירה</w:t>
      </w:r>
      <w:r>
        <w:rPr>
          <w:rtl w:val="true"/>
        </w:rPr>
        <w:t xml:space="preserve">, </w:t>
      </w:r>
      <w:r>
        <w:rPr>
          <w:rtl w:val="true"/>
        </w:rPr>
        <w:t>אך הוא מוכן להשתלב בטיפול גמילה מהתמכרויות</w:t>
      </w:r>
      <w:r>
        <w:rPr>
          <w:rtl w:val="true"/>
        </w:rPr>
        <w:t xml:space="preserve">. </w:t>
      </w:r>
      <w:r>
        <w:rPr>
          <w:rtl w:val="true"/>
        </w:rPr>
        <w:t xml:space="preserve">הוא מסר שהחל בגיל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החל לצרוך אלכוהול</w:t>
      </w:r>
      <w:r>
        <w:rPr>
          <w:rtl w:val="true"/>
        </w:rPr>
        <w:t xml:space="preserve">, </w:t>
      </w:r>
      <w:r>
        <w:rPr>
          <w:rtl w:val="true"/>
        </w:rPr>
        <w:t>ועשה בהמשך שימוש יומיומי בקנאביס</w:t>
      </w:r>
      <w:r>
        <w:rPr>
          <w:rtl w:val="true"/>
        </w:rPr>
        <w:t xml:space="preserve">. </w:t>
      </w:r>
      <w:r>
        <w:rPr>
          <w:rtl w:val="true"/>
        </w:rPr>
        <w:t xml:space="preserve">לאור דבריו הוא שולב ביום </w:t>
      </w:r>
      <w:r>
        <w:rPr/>
        <w:t>30.8.20</w:t>
      </w:r>
      <w:r>
        <w:rPr>
          <w:rtl w:val="true"/>
        </w:rPr>
        <w:t xml:space="preserve"> </w:t>
      </w:r>
      <w:r>
        <w:rPr>
          <w:rtl w:val="true"/>
        </w:rPr>
        <w:t xml:space="preserve">באבחון במרכז חוסן ונבנתה עבורו תכנית טיפולית בחודש אוקטובר </w:t>
      </w:r>
      <w:r>
        <w:rPr/>
        <w:t>20</w:t>
      </w:r>
      <w:r>
        <w:rPr>
          <w:rtl w:val="true"/>
        </w:rPr>
        <w:t xml:space="preserve">'. </w:t>
      </w:r>
      <w:r>
        <w:rPr>
          <w:rtl w:val="true"/>
        </w:rPr>
        <w:t>חלפו חודשיים והוא מתמיד בטיפול</w:t>
      </w:r>
      <w:r>
        <w:rPr>
          <w:rtl w:val="true"/>
        </w:rPr>
        <w:t xml:space="preserve">, </w:t>
      </w:r>
      <w:r>
        <w:rPr>
          <w:rtl w:val="true"/>
        </w:rPr>
        <w:t>משתף פעולה</w:t>
      </w:r>
      <w:r>
        <w:rPr>
          <w:rtl w:val="true"/>
        </w:rPr>
        <w:t xml:space="preserve">, </w:t>
      </w:r>
      <w:r>
        <w:rPr>
          <w:rtl w:val="true"/>
        </w:rPr>
        <w:t>אומר שרוצה להשתקם ולהשתפר ואמור להתחיל תהליך של ליווי תעסוקתי</w:t>
      </w:r>
      <w:r>
        <w:rPr>
          <w:rtl w:val="true"/>
        </w:rPr>
        <w:t xml:space="preserve">. </w:t>
      </w:r>
      <w:r>
        <w:rPr>
          <w:rtl w:val="true"/>
        </w:rPr>
        <w:t>שירות המבחן בא בהמלצה לטיפול ולשל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אך העבירה לא בוצעה על רקע של התמכרות לסמים ולאלכוהול וגם לא לצורך מימון של ההתמכרות</w:t>
      </w:r>
      <w:r>
        <w:rPr>
          <w:rtl w:val="true"/>
        </w:rPr>
        <w:t xml:space="preserve">. </w:t>
      </w:r>
      <w:r>
        <w:rPr>
          <w:rtl w:val="true"/>
        </w:rPr>
        <w:t>אין מדובר במי שלוקח נשק ממאבטח כדי לממן רכישה של סם ולכן לטענת המאשימה אין מִתְאָם בין ההתמכרות והגמילה לבין עבירת הנשק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 מקום לחרוג ממתחם העונש משיקולי שיקום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בשל אותם חודשיים שהנאשם נקי</w:t>
      </w:r>
      <w:r>
        <w:rPr>
          <w:rtl w:val="true"/>
        </w:rPr>
        <w:t xml:space="preserve">, </w:t>
      </w:r>
      <w:r>
        <w:rPr>
          <w:rtl w:val="true"/>
        </w:rPr>
        <w:t>המאשימה עותרת למקם את עונשו של הנאשם בתחתית מתחם העונש</w:t>
      </w:r>
      <w:r>
        <w:rPr>
          <w:rtl w:val="true"/>
        </w:rPr>
        <w:t xml:space="preserve">, </w:t>
      </w:r>
      <w:r>
        <w:rPr>
          <w:rtl w:val="true"/>
        </w:rPr>
        <w:t>כך שיוטל עליו עונש של מאסר של שנתיים וחצי</w:t>
      </w:r>
      <w:r>
        <w:rPr>
          <w:rtl w:val="true"/>
        </w:rPr>
        <w:t xml:space="preserve">. </w:t>
      </w:r>
      <w:r>
        <w:rPr>
          <w:rtl w:val="true"/>
        </w:rPr>
        <w:t>לאור מצבו הכלכלי המאשימה אינה עותרת לקנס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גל וולף</w:t>
      </w:r>
      <w:r>
        <w:rPr>
          <w:rtl w:val="true"/>
        </w:rPr>
        <w:t xml:space="preserve">, </w:t>
      </w:r>
      <w:r>
        <w:rPr>
          <w:rtl w:val="true"/>
        </w:rPr>
        <w:t xml:space="preserve">הנאשם בן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גדל במשפחה קשת יום שעלתה מאתיופיה</w:t>
      </w:r>
      <w:r>
        <w:rPr>
          <w:rtl w:val="true"/>
        </w:rPr>
        <w:t xml:space="preserve">. </w:t>
      </w:r>
      <w:r>
        <w:rPr>
          <w:rtl w:val="true"/>
        </w:rPr>
        <w:t xml:space="preserve">בגיל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הנאשם עזב את ביתו ועבר לפנימייה</w:t>
      </w:r>
      <w:r>
        <w:rPr>
          <w:rtl w:val="true"/>
        </w:rPr>
        <w:t xml:space="preserve">. </w:t>
      </w:r>
      <w:r>
        <w:rPr>
          <w:rtl w:val="true"/>
        </w:rPr>
        <w:t>למרות הקשיים</w:t>
      </w:r>
      <w:r>
        <w:rPr>
          <w:rtl w:val="true"/>
        </w:rPr>
        <w:t xml:space="preserve">, </w:t>
      </w:r>
      <w:r>
        <w:rPr>
          <w:rtl w:val="true"/>
        </w:rPr>
        <w:t xml:space="preserve">הצליח הנאשם לסיים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התגייס לצנחנים</w:t>
      </w:r>
      <w:r>
        <w:rPr>
          <w:rtl w:val="true"/>
        </w:rPr>
        <w:t xml:space="preserve">, </w:t>
      </w:r>
      <w:r>
        <w:rPr>
          <w:rtl w:val="true"/>
        </w:rPr>
        <w:t xml:space="preserve">שירת במשך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 ועל רקע המצב הכלכלי הקשה של המשפחה וקשייו להסתגל למסגרת</w:t>
      </w:r>
      <w:r>
        <w:rPr>
          <w:rtl w:val="true"/>
        </w:rPr>
        <w:t xml:space="preserve">, </w:t>
      </w:r>
      <w:r>
        <w:rPr>
          <w:rtl w:val="true"/>
        </w:rPr>
        <w:t>הוא קיבל פטור 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מאז שחרורו הוא התקשה לייצב את חייו</w:t>
      </w:r>
      <w:r>
        <w:rPr>
          <w:rtl w:val="true"/>
        </w:rPr>
        <w:t xml:space="preserve">, </w:t>
      </w:r>
      <w:r>
        <w:rPr>
          <w:rtl w:val="true"/>
        </w:rPr>
        <w:t>עבר בין מקומות עבודה שונים</w:t>
      </w:r>
      <w:r>
        <w:rPr>
          <w:rtl w:val="true"/>
        </w:rPr>
        <w:t xml:space="preserve">, </w:t>
      </w:r>
      <w:r>
        <w:rPr>
          <w:rtl w:val="true"/>
        </w:rPr>
        <w:t>עם השנים הוא צבר חובות למוסד לביטוח לאומי ולגופים אחרים</w:t>
      </w:r>
      <w:r>
        <w:rPr>
          <w:rtl w:val="true"/>
        </w:rPr>
        <w:t xml:space="preserve">. </w:t>
      </w:r>
      <w:r>
        <w:rPr>
          <w:rtl w:val="true"/>
        </w:rPr>
        <w:t>לאחר ההסתבכות בתיק הנוכחי</w:t>
      </w:r>
      <w:r>
        <w:rPr>
          <w:rtl w:val="true"/>
        </w:rPr>
        <w:t xml:space="preserve">, </w:t>
      </w:r>
      <w:r>
        <w:rPr>
          <w:rtl w:val="true"/>
        </w:rPr>
        <w:t>הנאשם שבעבר חווה חוסר אמון במערכת הציבורית</w:t>
      </w:r>
      <w:r>
        <w:rPr>
          <w:rtl w:val="true"/>
        </w:rPr>
        <w:t xml:space="preserve">, </w:t>
      </w:r>
      <w:r>
        <w:rPr>
          <w:rtl w:val="true"/>
        </w:rPr>
        <w:t>לראשונה בחייו מרגיש כיום שמושטת לו יד</w:t>
      </w:r>
      <w:r>
        <w:rPr>
          <w:rtl w:val="true"/>
        </w:rPr>
        <w:t xml:space="preserve">, </w:t>
      </w:r>
      <w:r>
        <w:rPr>
          <w:rtl w:val="true"/>
        </w:rPr>
        <w:t>אותה תפס בחוזקה ועושה ככל יכולתו כדי לקדם את עצמו ולצאת מהמעגל הנורא שהיה בו לאורך השנים</w:t>
      </w:r>
      <w:r>
        <w:rPr>
          <w:rtl w:val="true"/>
        </w:rPr>
        <w:t xml:space="preserve">. </w:t>
      </w:r>
      <w:r>
        <w:rPr>
          <w:rtl w:val="true"/>
        </w:rPr>
        <w:t>הוא מרגיש שהחברה מקבלת אותו</w:t>
      </w:r>
      <w:r>
        <w:rPr>
          <w:rtl w:val="true"/>
        </w:rPr>
        <w:t xml:space="preserve">, </w:t>
      </w:r>
      <w:r>
        <w:rPr>
          <w:rtl w:val="true"/>
        </w:rPr>
        <w:t>שמישהו מקשיב לו ומכוון אותו</w:t>
      </w:r>
      <w:r>
        <w:rPr>
          <w:rtl w:val="true"/>
        </w:rPr>
        <w:t xml:space="preserve">. </w:t>
      </w:r>
      <w:r>
        <w:rPr>
          <w:rtl w:val="true"/>
        </w:rPr>
        <w:t>הנאשם לקח אחריות מהרגע הראשון על מעשיו</w:t>
      </w:r>
      <w:r>
        <w:rPr>
          <w:rtl w:val="true"/>
        </w:rPr>
        <w:t xml:space="preserve">, </w:t>
      </w:r>
      <w:r>
        <w:rPr>
          <w:rtl w:val="true"/>
        </w:rPr>
        <w:t>הבין את הטעות שעשה</w:t>
      </w:r>
      <w:r>
        <w:rPr>
          <w:rtl w:val="true"/>
        </w:rPr>
        <w:t xml:space="preserve">, </w:t>
      </w:r>
      <w:r>
        <w:rPr>
          <w:rtl w:val="true"/>
        </w:rPr>
        <w:t>והביע חרטה</w:t>
      </w:r>
      <w:r>
        <w:rPr>
          <w:rtl w:val="true"/>
        </w:rPr>
        <w:t xml:space="preserve">. </w:t>
      </w:r>
      <w:r>
        <w:rPr>
          <w:rtl w:val="true"/>
        </w:rPr>
        <w:t>לא היה לו שום רצון לעשות שימוש בנשק או למכור אותו</w:t>
      </w:r>
      <w:r>
        <w:rPr>
          <w:rtl w:val="true"/>
        </w:rPr>
        <w:t xml:space="preserve">. </w:t>
      </w:r>
      <w:r>
        <w:rPr>
          <w:rtl w:val="true"/>
        </w:rPr>
        <w:t>כשיצא באותו ערב למועדון לא הייתה לו כוונה לבצע עבירה</w:t>
      </w:r>
      <w:r>
        <w:rPr>
          <w:rtl w:val="true"/>
        </w:rPr>
        <w:t xml:space="preserve">, </w:t>
      </w:r>
      <w:r>
        <w:rPr>
          <w:rtl w:val="true"/>
        </w:rPr>
        <w:t>ואין מחלוקת שלא קדם תכנון לעבירה</w:t>
      </w:r>
      <w:r>
        <w:rPr>
          <w:rtl w:val="true"/>
        </w:rPr>
        <w:t xml:space="preserve">. </w:t>
      </w:r>
      <w:r>
        <w:rPr>
          <w:rtl w:val="true"/>
        </w:rPr>
        <w:t>שעות לאחר שגנב את האקדח הוא נשאל בחקירה מה התכוון לעשות עם האקדח</w:t>
      </w:r>
      <w:r>
        <w:rPr>
          <w:rtl w:val="true"/>
        </w:rPr>
        <w:t xml:space="preserve">, </w:t>
      </w:r>
      <w:r>
        <w:rPr>
          <w:rtl w:val="true"/>
        </w:rPr>
        <w:t>והוא ענה שהתכוון להשיבו</w:t>
      </w:r>
      <w:r>
        <w:rPr>
          <w:rtl w:val="true"/>
        </w:rPr>
        <w:t xml:space="preserve">. </w:t>
      </w:r>
      <w:r>
        <w:rPr>
          <w:rtl w:val="true"/>
        </w:rPr>
        <w:t>מדובר בפרק זמן קצר ביותר מרגע לקיחת האקדח ועד שהשוטרים הגיעו</w:t>
      </w:r>
      <w:r>
        <w:rPr>
          <w:rtl w:val="true"/>
        </w:rPr>
        <w:t xml:space="preserve">, </w:t>
      </w:r>
      <w:r>
        <w:rPr>
          <w:rtl w:val="true"/>
        </w:rPr>
        <w:t>כך שלא הייתה לו אפשרות לחשוב כיצד לתקן את הטעות</w:t>
      </w:r>
      <w:r>
        <w:rPr>
          <w:rtl w:val="true"/>
        </w:rPr>
        <w:t xml:space="preserve">. </w:t>
      </w:r>
      <w:r>
        <w:rPr>
          <w:rtl w:val="true"/>
        </w:rPr>
        <w:t>לא נשקפה שום סכנה שכן הנאשם לא ניסה להעביר את האקדח לאחר</w:t>
      </w:r>
      <w:r>
        <w:rPr>
          <w:rtl w:val="true"/>
        </w:rPr>
        <w:t xml:space="preserve">, </w:t>
      </w:r>
      <w:r>
        <w:rPr>
          <w:rtl w:val="true"/>
        </w:rPr>
        <w:t>לעשות בו שימוש או למכור אותו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 xml:space="preserve">הנאשם היה עצור כחודשיים וחצי ובהמשך היה עצור בפיקוח אלקטרוני כארבעה חודשים וחצי עד לחודש יוני </w:t>
      </w:r>
      <w:r>
        <w:rPr/>
        <w:t>20</w:t>
      </w:r>
      <w:r>
        <w:rPr>
          <w:rtl w:val="true"/>
        </w:rPr>
        <w:t xml:space="preserve">' </w:t>
      </w:r>
      <w:r>
        <w:rPr>
          <w:rtl w:val="true"/>
        </w:rPr>
        <w:t xml:space="preserve">ולאחר מכן היה במעצר בית מלא עד לחודש דצמבר </w:t>
      </w:r>
      <w:r>
        <w:rPr/>
        <w:t>20</w:t>
      </w:r>
      <w:r>
        <w:rPr>
          <w:rtl w:val="true"/>
        </w:rPr>
        <w:t xml:space="preserve">'. </w:t>
      </w:r>
      <w:r>
        <w:rPr>
          <w:rtl w:val="true"/>
        </w:rPr>
        <w:t>הנאשם שיתף פעולה עם שירות המבחן מהרגע הראשון</w:t>
      </w:r>
      <w:r>
        <w:rPr>
          <w:rtl w:val="true"/>
        </w:rPr>
        <w:t xml:space="preserve">. </w:t>
      </w:r>
      <w:r>
        <w:rPr>
          <w:rtl w:val="true"/>
        </w:rPr>
        <w:t>הוגשו שני תסקירים חיוביים</w:t>
      </w:r>
      <w:r>
        <w:rPr>
          <w:rtl w:val="true"/>
        </w:rPr>
        <w:t xml:space="preserve">. </w:t>
      </w:r>
      <w:r>
        <w:rPr>
          <w:rtl w:val="true"/>
        </w:rPr>
        <w:t>למרות מגבלות הקורונה הנאשם מסר בדיקות שתן נקיות מהיום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אף שהוא מכור לסמים מגיל </w:t>
      </w: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 xml:space="preserve">מגיל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ועד לגיל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הוא השתמש בקנאביס מידי יום ולאחר מכן החל לצרוך סמים קשים יותר – אקסטזי וקוקאין</w:t>
      </w:r>
      <w:r>
        <w:rPr>
          <w:rtl w:val="true"/>
        </w:rPr>
        <w:t xml:space="preserve">, </w:t>
      </w:r>
      <w:r>
        <w:rPr>
          <w:rtl w:val="true"/>
        </w:rPr>
        <w:t>ולכן מסירת בדיקות שתן נקיות לאורך תקופה משמעותית היא בעלת משמעות גדולה בשיקומו של הנאשם</w:t>
      </w:r>
      <w:r>
        <w:rPr>
          <w:rtl w:val="true"/>
        </w:rPr>
        <w:t xml:space="preserve">. </w:t>
      </w:r>
      <w:r>
        <w:rPr>
          <w:rtl w:val="true"/>
        </w:rPr>
        <w:t>לנאשם יש רצון כן ואמיתי לערוך שינוי בחייו</w:t>
      </w:r>
      <w:r>
        <w:rPr>
          <w:rtl w:val="true"/>
        </w:rPr>
        <w:t xml:space="preserve">, </w:t>
      </w:r>
      <w:r>
        <w:rPr>
          <w:rtl w:val="true"/>
        </w:rPr>
        <w:t>ורואים את השינוי בפועל</w:t>
      </w:r>
      <w:r>
        <w:rPr>
          <w:rtl w:val="true"/>
        </w:rPr>
        <w:t xml:space="preserve">. </w:t>
      </w:r>
      <w:r>
        <w:rPr>
          <w:rtl w:val="true"/>
        </w:rPr>
        <w:t>הנאשם שולב במסגרת שירות המבחן בשיחות פרטניות</w:t>
      </w:r>
      <w:r>
        <w:rPr>
          <w:rtl w:val="true"/>
        </w:rPr>
        <w:t xml:space="preserve">, </w:t>
      </w:r>
      <w:r>
        <w:rPr>
          <w:rtl w:val="true"/>
        </w:rPr>
        <w:t>ובמקביל מסר בדיקות שתן נקיות</w:t>
      </w:r>
      <w:r>
        <w:rPr>
          <w:rtl w:val="true"/>
        </w:rPr>
        <w:t xml:space="preserve">. </w:t>
      </w:r>
      <w:r>
        <w:rPr>
          <w:rtl w:val="true"/>
        </w:rPr>
        <w:t>לאחר שהוכיח את עצמו והראה יציבות הוא הועבר למרכז חוסן כהמשך טיפול ושם הוא החל בשיחות פרטניות וקבוצתיות</w:t>
      </w:r>
      <w:r>
        <w:rPr>
          <w:rtl w:val="true"/>
        </w:rPr>
        <w:t xml:space="preserve">. </w:t>
      </w:r>
      <w:r>
        <w:rPr>
          <w:rtl w:val="true"/>
        </w:rPr>
        <w:t>יש שיתוף פעולה מלא גם במרכז חוסן</w:t>
      </w:r>
      <w:r>
        <w:rPr>
          <w:rtl w:val="true"/>
        </w:rPr>
        <w:t xml:space="preserve">, </w:t>
      </w:r>
      <w:r>
        <w:rPr>
          <w:rtl w:val="true"/>
        </w:rPr>
        <w:t>אין היעדרויות ויש התקדמות בהליך הטיפולי</w:t>
      </w:r>
      <w:r>
        <w:rPr>
          <w:rtl w:val="true"/>
        </w:rPr>
        <w:t xml:space="preserve">. </w:t>
      </w:r>
      <w:r>
        <w:rPr>
          <w:rtl w:val="true"/>
        </w:rPr>
        <w:t>במרכז חוסן החליטו לקדם אותו למציאת עבודה ולכן הוא שולב במרכז עוצמה</w:t>
      </w:r>
      <w:r>
        <w:rPr>
          <w:rtl w:val="true"/>
        </w:rPr>
        <w:t xml:space="preserve">, </w:t>
      </w:r>
      <w:r>
        <w:rPr>
          <w:rtl w:val="true"/>
        </w:rPr>
        <w:t>שם הוא עתיד להשתלב בקורס מקצועי לשם רכישת מקצוע ולהתחיל לעבוד</w:t>
      </w:r>
      <w:r>
        <w:rPr>
          <w:rtl w:val="true"/>
        </w:rPr>
        <w:t xml:space="preserve">. </w:t>
      </w:r>
      <w:r>
        <w:rPr>
          <w:rtl w:val="true"/>
        </w:rPr>
        <w:t>ניתן לראות כיצד הנאשם עושה צעד אחר צעד ועושה דרך יפה מאוד הכוללת תכנית לחזרה למסגרת תעסוקה</w:t>
      </w:r>
      <w:r>
        <w:rPr>
          <w:rtl w:val="true"/>
        </w:rPr>
        <w:t xml:space="preserve">, </w:t>
      </w:r>
      <w:r>
        <w:rPr>
          <w:rtl w:val="true"/>
        </w:rPr>
        <w:t>להרגיש שווה בין שווים ולהיגמל מסמים לאחר תקופת התמכרות ממושכת</w:t>
      </w:r>
      <w:r>
        <w:rPr>
          <w:rtl w:val="true"/>
        </w:rPr>
        <w:t xml:space="preserve">. </w:t>
      </w:r>
      <w:r>
        <w:rPr>
          <w:rtl w:val="true"/>
        </w:rPr>
        <w:t>הנאשם לא הפר את תנאי שחרורו</w:t>
      </w:r>
      <w:r>
        <w:rPr>
          <w:rtl w:val="true"/>
        </w:rPr>
        <w:t xml:space="preserve">, </w:t>
      </w:r>
      <w:r>
        <w:rPr>
          <w:rtl w:val="true"/>
        </w:rPr>
        <w:t>עמד בכל החלטות בית המשפט למרות שהיה ספון בביתו לאורך תקופה ממושכת ללא כל הקלה בתנאים וכל זאת מתוך הבנה שהוא רוצה לשנות את חייו</w:t>
      </w:r>
      <w:r>
        <w:rPr>
          <w:rtl w:val="true"/>
        </w:rPr>
        <w:t xml:space="preserve">. </w:t>
      </w:r>
      <w:r>
        <w:rPr>
          <w:rtl w:val="true"/>
        </w:rPr>
        <w:t>לא נפתחו לו תיקים חדשים</w:t>
      </w:r>
      <w:r>
        <w:rPr>
          <w:rtl w:val="true"/>
        </w:rPr>
        <w:t xml:space="preserve">. </w:t>
      </w:r>
      <w:r>
        <w:rPr>
          <w:rtl w:val="true"/>
        </w:rPr>
        <w:t>לא מדובר רק על סיכוי של ממש לשיקום</w:t>
      </w:r>
      <w:r>
        <w:rPr>
          <w:rtl w:val="true"/>
        </w:rPr>
        <w:t xml:space="preserve">, </w:t>
      </w:r>
      <w:r>
        <w:rPr>
          <w:rtl w:val="true"/>
        </w:rPr>
        <w:t>אלא קיים שיקום של ממש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מתחם העונש לו עתרה המאשימה אינו ראוי</w:t>
      </w:r>
      <w:r>
        <w:rPr>
          <w:rtl w:val="true"/>
        </w:rPr>
        <w:t xml:space="preserve">. </w:t>
      </w:r>
      <w:r>
        <w:rPr>
          <w:rtl w:val="true"/>
        </w:rPr>
        <w:t>זה מתחם שמתאים לנאשמים שתכננו לעבור עבירה</w:t>
      </w:r>
      <w:r>
        <w:rPr>
          <w:rtl w:val="true"/>
        </w:rPr>
        <w:t xml:space="preserve">, </w:t>
      </w:r>
      <w:r>
        <w:rPr>
          <w:rtl w:val="true"/>
        </w:rPr>
        <w:t>אך במקרה זה מדובר בנסיבות קלות יותר ולכן מתחם העונש צריך להיות נמוך משמעותית</w:t>
      </w:r>
      <w:r>
        <w:rPr>
          <w:rtl w:val="true"/>
        </w:rPr>
        <w:t xml:space="preserve">. </w:t>
      </w:r>
      <w:r>
        <w:rPr>
          <w:rtl w:val="true"/>
        </w:rPr>
        <w:t>מעבר לכך יש מקום לחרוג ממתחם העונש משיקולי שיקום</w:t>
      </w:r>
      <w:r>
        <w:rPr>
          <w:rtl w:val="true"/>
        </w:rPr>
        <w:t xml:space="preserve">. </w:t>
      </w:r>
      <w:r>
        <w:rPr>
          <w:rtl w:val="true"/>
        </w:rPr>
        <w:t>המלצות שירות המבחן לצו של</w:t>
      </w:r>
      <w:r>
        <w:rPr>
          <w:rtl w:val="true"/>
        </w:rPr>
        <w:t>"</w:t>
      </w:r>
      <w:r>
        <w:rPr>
          <w:rtl w:val="true"/>
        </w:rPr>
        <w:t>צ הן קשות ליישום</w:t>
      </w:r>
      <w:r>
        <w:rPr>
          <w:rtl w:val="true"/>
        </w:rPr>
        <w:t xml:space="preserve">, </w:t>
      </w:r>
      <w:r>
        <w:rPr>
          <w:rtl w:val="true"/>
        </w:rPr>
        <w:t>אך ההמלצה כוללת גם צו מבחן כך שניתן יהיה להמשיך ולעקוב אחריו לאורך השנה</w:t>
      </w:r>
      <w:r>
        <w:rPr>
          <w:rtl w:val="true"/>
        </w:rPr>
        <w:t xml:space="preserve">. </w:t>
      </w:r>
      <w:r>
        <w:rPr>
          <w:rtl w:val="true"/>
        </w:rPr>
        <w:t>עונש מאסר יחטא לאינטרס הציבורי</w:t>
      </w:r>
      <w:r>
        <w:rPr>
          <w:rtl w:val="true"/>
        </w:rPr>
        <w:t xml:space="preserve">. </w:t>
      </w:r>
      <w:r>
        <w:rPr>
          <w:rtl w:val="true"/>
        </w:rPr>
        <w:t>כדי שלא לקטוע את הליך השיקום יש להפנות את הנאשם לחוות דעת הממונה על עבודות השירות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הנאשם טען שהוא מצטער ומודה שעשה טעות</w:t>
      </w:r>
      <w:r>
        <w:rPr>
          <w:rtl w:val="true"/>
        </w:rPr>
        <w:t xml:space="preserve">. </w:t>
      </w:r>
      <w:r>
        <w:rPr>
          <w:rtl w:val="true"/>
        </w:rPr>
        <w:t>לוקח אחריות מלאה על מעשיו</w:t>
      </w:r>
      <w:r>
        <w:rPr>
          <w:rtl w:val="true"/>
        </w:rPr>
        <w:t xml:space="preserve">. </w:t>
      </w:r>
      <w:r>
        <w:rPr>
          <w:rtl w:val="true"/>
        </w:rPr>
        <w:t>המעשה לא היה מתוכנן</w:t>
      </w:r>
      <w:r>
        <w:rPr>
          <w:rtl w:val="true"/>
        </w:rPr>
        <w:t xml:space="preserve">, </w:t>
      </w:r>
      <w:r>
        <w:rPr>
          <w:rtl w:val="true"/>
        </w:rPr>
        <w:t>אלא בוצע תחת השפעת אלכוהול וסמים</w:t>
      </w:r>
      <w:r>
        <w:rPr>
          <w:rtl w:val="true"/>
        </w:rPr>
        <w:t xml:space="preserve">. </w:t>
      </w:r>
      <w:r>
        <w:rPr>
          <w:rtl w:val="true"/>
        </w:rPr>
        <w:t>עבר תהליך מאוד משמעותי בחיים</w:t>
      </w:r>
      <w:r>
        <w:rPr>
          <w:rtl w:val="true"/>
        </w:rPr>
        <w:t xml:space="preserve">, </w:t>
      </w:r>
      <w:r>
        <w:rPr>
          <w:rtl w:val="true"/>
        </w:rPr>
        <w:t>גם בשירות המבחן וגם במרכז חוסן</w:t>
      </w:r>
      <w:r>
        <w:rPr>
          <w:rtl w:val="true"/>
        </w:rPr>
        <w:t xml:space="preserve">, </w:t>
      </w:r>
      <w:r>
        <w:rPr>
          <w:rtl w:val="true"/>
        </w:rPr>
        <w:t>כל הבדיקות שביצע הן נקיות</w:t>
      </w:r>
      <w:r>
        <w:rPr>
          <w:rtl w:val="true"/>
        </w:rPr>
        <w:t xml:space="preserve">. </w:t>
      </w:r>
      <w:r>
        <w:rPr>
          <w:rtl w:val="true"/>
        </w:rPr>
        <w:t>רוצה להשתלב בלימודים ומקווה להצליח</w:t>
      </w:r>
      <w:r>
        <w:rPr>
          <w:rtl w:val="true"/>
        </w:rPr>
        <w:t xml:space="preserve">.  </w:t>
      </w:r>
    </w:p>
    <w:p>
      <w:pPr>
        <w:pStyle w:val="Style14"/>
        <w:ind w:end="0"/>
        <w:jc w:val="both"/>
        <w:rPr/>
      </w:pP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כתב האישום מתאר אירוע אחד</w:t>
      </w:r>
      <w:r>
        <w:rPr>
          <w:rtl w:val="true"/>
        </w:rPr>
        <w:t xml:space="preserve">, </w:t>
      </w:r>
      <w:r>
        <w:rPr>
          <w:rtl w:val="true"/>
        </w:rPr>
        <w:t xml:space="preserve">ומכאן שיש לקבוע בגינו </w:t>
      </w:r>
      <w:r>
        <w:rPr>
          <w:b/>
          <w:b/>
          <w:bCs/>
          <w:rtl w:val="true"/>
        </w:rPr>
        <w:t>מתחם עונש הולם אחד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b/>
          <w:b/>
          <w:bCs/>
          <w:rtl w:val="true"/>
        </w:rPr>
        <w:t xml:space="preserve">הערך החברתי </w:t>
      </w:r>
      <w:r>
        <w:rPr>
          <w:rtl w:val="true"/>
        </w:rPr>
        <w:t>אשר נפגע בעבירת גניבת נשק הוא הגנה על בטחון הציבור ושלומו</w:t>
      </w:r>
      <w:r>
        <w:rPr>
          <w:rtl w:val="true"/>
        </w:rPr>
        <w:t xml:space="preserve">. </w:t>
      </w:r>
      <w:r>
        <w:rPr>
          <w:rtl w:val="true"/>
        </w:rPr>
        <w:t>גניבה של  נשק חם</w:t>
      </w:r>
      <w:r>
        <w:rPr>
          <w:rtl w:val="true"/>
        </w:rPr>
        <w:t xml:space="preserve">, </w:t>
      </w:r>
      <w:r>
        <w:rPr>
          <w:rtl w:val="true"/>
        </w:rPr>
        <w:t>מסוג אקדח</w:t>
      </w:r>
      <w:r>
        <w:rPr>
          <w:rtl w:val="true"/>
        </w:rPr>
        <w:t xml:space="preserve">, </w:t>
      </w:r>
      <w:r>
        <w:rPr>
          <w:rtl w:val="true"/>
        </w:rPr>
        <w:t>יוצרת סיכון שהנשק יגיע בסופו של דבר לגורמים אשר יעשו בו שימוש למטרות פסולות</w:t>
      </w:r>
      <w:r>
        <w:rPr>
          <w:rtl w:val="true"/>
        </w:rPr>
        <w:t xml:space="preserve">, </w:t>
      </w:r>
      <w:r>
        <w:rPr>
          <w:rtl w:val="true"/>
        </w:rPr>
        <w:t>פליליות או ביטחוניות</w:t>
      </w:r>
      <w:r>
        <w:rPr>
          <w:rtl w:val="true"/>
        </w:rPr>
        <w:t xml:space="preserve">, </w:t>
      </w:r>
      <w:r>
        <w:rPr>
          <w:rtl w:val="true"/>
        </w:rPr>
        <w:t>לרבות פגיעה בגוף או בנפש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/>
      </w:pPr>
      <w:r>
        <w:rPr>
          <w:rtl w:val="true"/>
        </w:rPr>
        <w:t>בית המשפט העליון חזר והדגיש את מגמת ההחמרה בעבירות הנשק השונות</w:t>
      </w:r>
      <w:r>
        <w:rPr>
          <w:rtl w:val="true"/>
        </w:rPr>
        <w:t xml:space="preserve">, </w:t>
      </w:r>
      <w:r>
        <w:rPr>
          <w:rtl w:val="true"/>
        </w:rPr>
        <w:t>ואת החומרה היתרה שבביצוע עבירות נשק</w:t>
      </w:r>
      <w:r>
        <w:rPr>
          <w:rtl w:val="true"/>
        </w:rPr>
        <w:t xml:space="preserve">. </w:t>
      </w:r>
      <w:r>
        <w:rPr>
          <w:rtl w:val="true"/>
        </w:rPr>
        <w:t>זאת בשל הסיכון הממשי לביטחון הציבור והפגיעה בערכים המוגנים של שלמות הגוף וחיי אדם</w:t>
      </w:r>
      <w:r>
        <w:rPr>
          <w:rtl w:val="true"/>
        </w:rPr>
        <w:t xml:space="preserve">. </w:t>
      </w:r>
      <w:r>
        <w:rPr>
          <w:rtl w:val="true"/>
        </w:rPr>
        <w:t>לאור כך</w:t>
      </w:r>
      <w:r>
        <w:rPr>
          <w:rtl w:val="true"/>
        </w:rPr>
        <w:t xml:space="preserve">, </w:t>
      </w:r>
      <w:r>
        <w:rPr>
          <w:rtl w:val="true"/>
        </w:rPr>
        <w:t>ננקטת מגמת החמרה בענישה בעבירות נשק</w:t>
      </w:r>
      <w:r>
        <w:rPr>
          <w:rtl w:val="true"/>
        </w:rPr>
        <w:t xml:space="preserve">, </w:t>
      </w:r>
      <w:r>
        <w:rPr>
          <w:rtl w:val="true"/>
        </w:rPr>
        <w:t>כך שזו תבטא באופן הולם את פוטנציאל ההרס הרב הגלום בהן</w:t>
      </w:r>
      <w:r>
        <w:rPr>
          <w:rtl w:val="true"/>
        </w:rPr>
        <w:t xml:space="preserve">. </w:t>
      </w:r>
      <w:r>
        <w:rPr>
          <w:rtl w:val="true"/>
        </w:rPr>
        <w:t>עוד נקבע כי ראוי ונכון להחמיר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זאת בין היתר כדי להיאבק בתופעה של שימוש גובר בנשק חם כאמצעי ליישוב סכסוכים</w:t>
      </w:r>
      <w:r>
        <w:rPr>
          <w:rtl w:val="true"/>
        </w:rPr>
        <w:t xml:space="preserve">. </w:t>
      </w:r>
      <w:r>
        <w:rPr>
          <w:rtl w:val="true"/>
        </w:rPr>
        <w:t>מיגור תופעת נשיאת והחזקת כלי נשק בלתי חוקיים הוא אפוא אינטרס ציבורי חשוב ותנאי הכרחי למאבק בתופעות הפשיעה האלימה לסוגיה</w:t>
      </w:r>
      <w:r>
        <w:rPr>
          <w:rtl w:val="true"/>
        </w:rPr>
        <w:t xml:space="preserve">, </w:t>
      </w:r>
      <w:r>
        <w:rPr>
          <w:rtl w:val="true"/>
        </w:rPr>
        <w:t>ויש לעשות כן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ענישה מחמירה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, </w:t>
      </w:r>
      <w:r>
        <w:rPr>
          <w:rtl w:val="true"/>
        </w:rPr>
        <w:t>דברי כב</w:t>
      </w:r>
      <w:r>
        <w:rPr>
          <w:rtl w:val="true"/>
        </w:rPr>
        <w:t xml:space="preserve">' </w:t>
      </w:r>
      <w:r>
        <w:rPr>
          <w:rtl w:val="true"/>
        </w:rPr>
        <w:t>השופט ע</w:t>
      </w:r>
      <w:r>
        <w:rPr>
          <w:rtl w:val="true"/>
        </w:rPr>
        <w:t xml:space="preserve">' </w:t>
      </w:r>
      <w:r>
        <w:rPr>
          <w:rtl w:val="true"/>
        </w:rPr>
        <w:t>גרוסקופף 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5446/19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הוארי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25.11.19</w:t>
      </w:r>
      <w:r>
        <w:rPr>
          <w:rtl w:val="true"/>
        </w:rPr>
        <w:t xml:space="preserve">],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 י</w:t>
      </w:r>
      <w:r>
        <w:rPr>
          <w:rtl w:val="true"/>
        </w:rPr>
        <w:t xml:space="preserve">' </w:t>
      </w:r>
      <w:r>
        <w:rPr>
          <w:rtl w:val="true"/>
        </w:rPr>
        <w:t>אלרון ומ</w:t>
      </w:r>
      <w:r>
        <w:rPr>
          <w:rtl w:val="true"/>
        </w:rPr>
        <w:t xml:space="preserve">' </w:t>
      </w:r>
      <w:r>
        <w:rPr>
          <w:rtl w:val="true"/>
        </w:rPr>
        <w:t>מזוז 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סובח </w:t>
      </w:r>
      <w:r>
        <w:rPr>
          <w:rtl w:val="true"/>
        </w:rPr>
        <w:t>[</w:t>
      </w:r>
      <w:r>
        <w:rPr/>
        <w:t>5.11.19</w:t>
      </w:r>
      <w:r>
        <w:rPr>
          <w:rtl w:val="true"/>
        </w:rPr>
        <w:t xml:space="preserve">],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א</w:t>
      </w:r>
      <w:r>
        <w:rPr>
          <w:rtl w:val="true"/>
        </w:rPr>
        <w:t xml:space="preserve">' </w:t>
      </w:r>
      <w:r>
        <w:rPr>
          <w:rtl w:val="true"/>
        </w:rPr>
        <w:t>שטיין 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ביטון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14.2.21</w:t>
      </w:r>
      <w:r>
        <w:rPr>
          <w:rtl w:val="true"/>
        </w:rPr>
        <w:t xml:space="preserve">],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 ג</w:t>
      </w:r>
      <w:r>
        <w:rPr>
          <w:rtl w:val="true"/>
        </w:rPr>
        <w:t xml:space="preserve">' </w:t>
      </w:r>
      <w:r>
        <w:rPr>
          <w:rtl w:val="true"/>
        </w:rPr>
        <w:t>קרא 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ענבתאוי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22.11.20</w:t>
      </w:r>
      <w:r>
        <w:rPr>
          <w:rtl w:val="true"/>
        </w:rPr>
        <w:t xml:space="preserve">]). </w:t>
      </w:r>
    </w:p>
    <w:p>
      <w:pPr>
        <w:pStyle w:val="Normal"/>
        <w:spacing w:lineRule="auto" w:line="360" w:before="0" w:after="120"/>
        <w:ind w:start="707" w:end="0"/>
        <w:jc w:val="both"/>
        <w:rPr/>
      </w:pPr>
      <w:r>
        <w:rPr>
          <w:rFonts w:ascii="David" w:hAnsi="David"/>
          <w:rtl w:val="true"/>
        </w:rPr>
        <w:t>עבירות הנשק הוכרו בפסיקה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באופן אשר מצדיק את החמרת הענישה בהן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בהקשר זה ראו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7703/19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6.8.20</w:t>
      </w:r>
      <w:r>
        <w:rPr>
          <w:rFonts w:cs="David" w:ascii="David" w:hAnsi="David"/>
          <w:rtl w:val="true"/>
        </w:rPr>
        <w:t xml:space="preserve">];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14.2.21</w:t>
      </w:r>
      <w:r>
        <w:rPr>
          <w:rFonts w:cs="David" w:ascii="David" w:hAnsi="David"/>
          <w:rtl w:val="true"/>
        </w:rPr>
        <w:t>])).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אשר קובע את העבירה של גניבת נשק כעבירה נפרדת ועצמאית</w:t>
      </w:r>
      <w:r>
        <w:rPr>
          <w:rtl w:val="true"/>
        </w:rPr>
        <w:t xml:space="preserve">, </w:t>
      </w:r>
      <w:r>
        <w:rPr>
          <w:rtl w:val="true"/>
        </w:rPr>
        <w:t>לעומת העבירות של החזקת ונשיאת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הוא סעיף חדש יחסית אשר התווסף לספר החוקים בתיקון </w:t>
      </w:r>
      <w:r>
        <w:rPr/>
        <w:t>135</w:t>
      </w:r>
      <w:r>
        <w:rPr>
          <w:rtl w:val="true"/>
        </w:rPr>
        <w:t xml:space="preserve"> </w:t>
      </w:r>
      <w:r>
        <w:rPr>
          <w:rtl w:val="true"/>
        </w:rPr>
        <w:t xml:space="preserve">לחוק העונשין בשנת </w:t>
      </w:r>
      <w:r>
        <w:rPr/>
        <w:t>2018</w:t>
      </w:r>
      <w:r>
        <w:rPr>
          <w:rtl w:val="true"/>
        </w:rPr>
        <w:t xml:space="preserve"> 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2762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12.12.18</w:t>
      </w:r>
      <w:r>
        <w:rPr>
          <w:rtl w:val="true"/>
        </w:rPr>
        <w:t xml:space="preserve">). </w:t>
      </w:r>
      <w:r>
        <w:rPr>
          <w:rtl w:val="true"/>
        </w:rPr>
        <w:t>הסעיף קובע כי דינו של הגונב נשק – מאסר עשר שנים</w:t>
      </w:r>
      <w:r>
        <w:rPr>
          <w:rtl w:val="true"/>
        </w:rPr>
        <w:t xml:space="preserve">. </w:t>
      </w:r>
      <w:r>
        <w:rPr>
          <w:rtl w:val="true"/>
        </w:rPr>
        <w:t xml:space="preserve">בדברי ההסבר להצעת תיקון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נאמר כך</w:t>
      </w:r>
      <w:r>
        <w:rPr>
          <w:rtl w:val="true"/>
        </w:rPr>
        <w:t>: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1133" w:end="567"/>
        <w:jc w:val="both"/>
        <w:rPr/>
      </w:pPr>
      <w:r>
        <w:rPr>
          <w:rtl w:val="true"/>
        </w:rPr>
        <w:t>"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כתבי אישום המוגשים במקרים של גניבת נשק כוללים אישומים על עבירה של החזקת נשק שלא כדין</w:t>
      </w:r>
      <w:r>
        <w:rPr>
          <w:rtl w:val="true"/>
        </w:rPr>
        <w:t xml:space="preserve">, </w:t>
      </w:r>
      <w:r>
        <w:rPr>
          <w:rtl w:val="true"/>
        </w:rPr>
        <w:t>נשיאתו או הובלתו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או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נוסף על עבירת הגניבה</w:t>
      </w:r>
      <w:r>
        <w:rPr>
          <w:rtl w:val="true"/>
        </w:rPr>
        <w:t xml:space="preserve">... </w:t>
      </w:r>
      <w:r>
        <w:rPr>
          <w:rtl w:val="true"/>
        </w:rPr>
        <w:t>הצעת החוק נועדה להגן על הערך של חיי אדם שנשקף להם סיכון בעצם גניבת הנשק ולהגביר את ההרתעה מפני ביצוע עבירה זו</w:t>
      </w:r>
      <w:r>
        <w:rPr>
          <w:rtl w:val="true"/>
        </w:rPr>
        <w:t xml:space="preserve">...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 בקביעת עבירה מיוחדת לעניין זה משום שינוי משמעותי בעונש הקבוע כיום בעבירות שלגביהן מוגשים כתבי אישום בשל גניבת נשק</w:t>
      </w:r>
      <w:r>
        <w:rPr>
          <w:rtl w:val="true"/>
        </w:rPr>
        <w:t>."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/>
      </w:pPr>
      <w:r>
        <w:rPr>
          <w:rtl w:val="true"/>
        </w:rPr>
        <w:t>(</w:t>
      </w:r>
      <w:r>
        <w:rPr>
          <w:rtl w:val="true"/>
        </w:rPr>
        <w:t xml:space="preserve">ראו הצעת </w:t>
      </w:r>
      <w:hyperlink r:id="rId2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135</w:t>
      </w:r>
      <w:r>
        <w:rPr>
          <w:rtl w:val="true"/>
        </w:rPr>
        <w:t>) (</w:t>
      </w:r>
      <w:r>
        <w:rPr>
          <w:rtl w:val="true"/>
        </w:rPr>
        <w:t>גניבת נשק</w:t>
      </w:r>
      <w:r>
        <w:rPr>
          <w:rtl w:val="true"/>
        </w:rPr>
        <w:t xml:space="preserve">),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הכנסת </w:t>
      </w:r>
      <w:r>
        <w:rPr/>
        <w:t>811</w:t>
      </w:r>
      <w:r>
        <w:rPr>
          <w:rtl w:val="true"/>
        </w:rPr>
        <w:t xml:space="preserve">).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 xml:space="preserve">מידת הפגיעה בערך המוגן </w:t>
      </w:r>
      <w:r>
        <w:rPr>
          <w:rtl w:val="true"/>
        </w:rPr>
        <w:t>מובילה למסקנה כי הפגיעה היא ברף בינוני</w:t>
      </w:r>
      <w:r>
        <w:rPr>
          <w:rtl w:val="true"/>
        </w:rPr>
        <w:t xml:space="preserve">. </w:t>
      </w:r>
      <w:r>
        <w:rPr>
          <w:rtl w:val="true"/>
        </w:rPr>
        <w:t>הנאשם גנב נשק מסוג אקדח מאיש אבטחה שהחזיק בנשק כדין לצורך מילוי תפקידו</w:t>
      </w:r>
      <w:r>
        <w:rPr>
          <w:rtl w:val="true"/>
        </w:rPr>
        <w:t xml:space="preserve">. </w:t>
      </w:r>
      <w:r>
        <w:rPr>
          <w:rtl w:val="true"/>
        </w:rPr>
        <w:t>הנאשם נשא את הנשק מהמועדון ברחובות לביתו בקריית מלאכי</w:t>
      </w:r>
      <w:r>
        <w:rPr>
          <w:rtl w:val="true"/>
        </w:rPr>
        <w:t xml:space="preserve">, </w:t>
      </w:r>
      <w:r>
        <w:rPr>
          <w:rtl w:val="true"/>
        </w:rPr>
        <w:t>והחזיק אותו בביתו לפרק זמן קצר עד להגעת השוטרים לביתו</w:t>
      </w:r>
      <w:r>
        <w:rPr>
          <w:rtl w:val="true"/>
        </w:rPr>
        <w:t xml:space="preserve">. </w:t>
      </w:r>
      <w:r>
        <w:rPr>
          <w:rtl w:val="true"/>
        </w:rPr>
        <w:t>הפגיעה בערך המוגן בעבירה של גניבת נשק היא משמעותית יותר מאשר בעבירה של נשיאת נשק</w:t>
      </w:r>
      <w:r>
        <w:rPr>
          <w:rtl w:val="true"/>
        </w:rPr>
        <w:t xml:space="preserve">, </w:t>
      </w:r>
      <w:r>
        <w:rPr>
          <w:rtl w:val="true"/>
        </w:rPr>
        <w:t>מפני שהיא כוללת את הוצאת הנשק מידי מי שמחזיק בו כדין</w:t>
      </w:r>
      <w:r>
        <w:rPr>
          <w:rtl w:val="true"/>
        </w:rPr>
        <w:t xml:space="preserve">, </w:t>
      </w:r>
      <w:r>
        <w:rPr>
          <w:rtl w:val="true"/>
        </w:rPr>
        <w:t>ולפיכך יש לקבוע מתחם העונש הולם בעבירה של גניבת נשק שהוא גבוה במידת מה מהמתחם בעבירת נשיאת הנשק</w:t>
      </w:r>
      <w:r>
        <w:rPr>
          <w:rtl w:val="true"/>
        </w:rPr>
        <w:t xml:space="preserve">, </w:t>
      </w:r>
      <w:r>
        <w:rPr>
          <w:rtl w:val="true"/>
        </w:rPr>
        <w:t>מאותו סוג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במסגרת </w:t>
      </w:r>
      <w:r>
        <w:rPr>
          <w:b/>
          <w:b/>
          <w:bCs/>
          <w:rtl w:val="true"/>
        </w:rPr>
        <w:t>הנסיבות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יש לתת את הדעת </w:t>
      </w:r>
      <w:r>
        <w:rPr>
          <w:rStyle w:val="default"/>
          <w:rtl w:val="true"/>
        </w:rPr>
        <w:t>לכך שהנאשם הגיע למועדון עם חבריו ובמהלך קטטה שהתרחשה במקום בין מספר בליינים לבין מאבטחים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הנאשם ניצל את המצב שבו התפתחה קטטה בין בליינים למאבטחים במועדון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ונטל את האקדח שניתק מהמאבטח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מובן שלא מדובר בעבירה מתוכננת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אלא במעשה ספונטני של ניצול שעת כושר וחוסר האונים שבו היה מאבטח באותו הרגע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החביא את האקדח בתוך מכנסיו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נשא את האקדח על גופו עד להגעתו לביתו ושם החזיק את האקדח שהיה טעון במחסנית ובכדורים תואמים בתוך גרב שחור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כך למשך מספר שעות עד להגעת השוטרים לביתו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פוטנציאל הנזק שצפוי להיגרם בעבירות נשק בכלל הוא רב וכולל פגיעה בגוף ובנפש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זאת בשל החשש מפני הגעת הנשק לידי אחרים שעלולים לעשות בו שימוש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יש לתת את הדעת לכך שהנשק הוחזק בהיותו טעון במחסנית וכדורים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כך שהוא היה זמין לשימוש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בפועל לא נעשה שימוש בנשק ולא נגרם נזק מוחשי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התקשה להסביר את הסיבות שהביאו אותו לבצע את העבירה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אך מתסקיר שירות המבחן ניתן להעריך שהסיבות קשורות לנטייתו לפריצת גבולות ולכך שהיה תחת השפעת אלכוהול וסמים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בבחינת מדיניות הענישה הנוהגת יש לתת את הדעת למגמת ההחמרה בענישה הקיימת בפסיקת בית המשפט העליון</w:t>
      </w:r>
      <w:r>
        <w:rPr>
          <w:rtl w:val="true"/>
        </w:rPr>
        <w:t xml:space="preserve">. </w:t>
      </w:r>
      <w:r>
        <w:rPr>
          <w:rtl w:val="true"/>
        </w:rPr>
        <w:t>לעניין זה ראו את דברי כב</w:t>
      </w:r>
      <w:r>
        <w:rPr>
          <w:rtl w:val="true"/>
        </w:rPr>
        <w:t xml:space="preserve">' </w:t>
      </w:r>
      <w:r>
        <w:rPr>
          <w:rtl w:val="true"/>
        </w:rPr>
        <w:t>השופט נ</w:t>
      </w:r>
      <w:r>
        <w:rPr>
          <w:rtl w:val="true"/>
        </w:rPr>
        <w:t xml:space="preserve">' </w:t>
      </w:r>
      <w:r>
        <w:rPr>
          <w:rtl w:val="true"/>
        </w:rPr>
        <w:t>סולברג מהעת האחרונה 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5807/20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שיבלי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30.12.20</w:t>
      </w:r>
      <w:r>
        <w:rPr>
          <w:rtl w:val="true"/>
        </w:rPr>
        <w:t>):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1133" w:end="567"/>
        <w:jc w:val="both"/>
        <w:rPr/>
      </w:pPr>
      <w:r>
        <w:rPr>
          <w:rtl w:val="true"/>
        </w:rPr>
        <w:t>"</w:t>
      </w:r>
      <w:r>
        <w:rPr>
          <w:rtl w:val="true"/>
        </w:rPr>
        <w:t>עבירות הנשק – חמורות מנשוא</w:t>
      </w:r>
      <w:r>
        <w:rPr>
          <w:rtl w:val="true"/>
        </w:rPr>
        <w:t xml:space="preserve">; </w:t>
      </w:r>
      <w:r>
        <w:rPr>
          <w:rtl w:val="true"/>
        </w:rPr>
        <w:t>אחריתן – מי ישורנה</w:t>
      </w:r>
      <w:r>
        <w:rPr>
          <w:rtl w:val="true"/>
        </w:rPr>
        <w:t xml:space="preserve">. </w:t>
      </w:r>
      <w:r>
        <w:rPr>
          <w:rtl w:val="true"/>
        </w:rPr>
        <w:t>ברגיל</w:t>
      </w:r>
      <w:r>
        <w:rPr>
          <w:rtl w:val="true"/>
        </w:rPr>
        <w:t xml:space="preserve">, </w:t>
      </w:r>
      <w:r>
        <w:rPr>
          <w:rtl w:val="true"/>
        </w:rPr>
        <w:t>כך נקבע לא אחת</w:t>
      </w:r>
      <w:r>
        <w:rPr>
          <w:rtl w:val="true"/>
        </w:rPr>
        <w:t xml:space="preserve">, </w:t>
      </w:r>
      <w:r>
        <w:rPr>
          <w:rtl w:val="true"/>
        </w:rPr>
        <w:t>גם אם היתה זו פעם ראשונה לנאשם שמעד בעבירות הקשורות בנשק</w:t>
      </w:r>
      <w:r>
        <w:rPr>
          <w:rtl w:val="true"/>
        </w:rPr>
        <w:t xml:space="preserve">, </w:t>
      </w:r>
      <w:r>
        <w:rPr>
          <w:rtl w:val="true"/>
        </w:rPr>
        <w:t>לא נחמול ולא נכסה עליו</w:t>
      </w:r>
      <w:r>
        <w:rPr>
          <w:rtl w:val="true"/>
        </w:rPr>
        <w:t xml:space="preserve">; </w:t>
      </w:r>
      <w:r>
        <w:rPr>
          <w:rtl w:val="true"/>
        </w:rPr>
        <w:t>נשלחהו למאסר מאחורי סורג ובריח</w:t>
      </w:r>
      <w:r>
        <w:rPr>
          <w:rtl w:val="true"/>
        </w:rPr>
        <w:t xml:space="preserve">... </w:t>
      </w:r>
      <w:r>
        <w:rPr>
          <w:rtl w:val="true"/>
        </w:rPr>
        <w:t>עבירות הנשק</w:t>
      </w:r>
      <w:r>
        <w:rPr>
          <w:rtl w:val="true"/>
        </w:rPr>
        <w:t xml:space="preserve">, </w:t>
      </w:r>
      <w:r>
        <w:rPr>
          <w:rtl w:val="true"/>
        </w:rPr>
        <w:t>הריהן מכת מדינה</w:t>
      </w:r>
      <w:r>
        <w:rPr>
          <w:rtl w:val="true"/>
        </w:rPr>
        <w:t xml:space="preserve">. </w:t>
      </w:r>
      <w:r>
        <w:rPr>
          <w:rtl w:val="true"/>
        </w:rPr>
        <w:t>אזרחים רבים מקפחים את חייהם מידי שנה בעטיין</w:t>
      </w:r>
      <w:r>
        <w:rPr>
          <w:rtl w:val="true"/>
        </w:rPr>
        <w:t xml:space="preserve">, </w:t>
      </w:r>
      <w:r>
        <w:rPr>
          <w:rtl w:val="true"/>
        </w:rPr>
        <w:t>ותחושת הביטחון הכללית של הציבור – נפגעת</w:t>
      </w:r>
      <w:r>
        <w:rPr>
          <w:rtl w:val="true"/>
        </w:rPr>
        <w:t xml:space="preserve">. </w:t>
      </w:r>
      <w:r>
        <w:rPr>
          <w:rtl w:val="true"/>
        </w:rPr>
        <w:t>מערכת המשפט</w:t>
      </w:r>
      <w:r>
        <w:rPr>
          <w:rtl w:val="true"/>
        </w:rPr>
        <w:t xml:space="preserve">, </w:t>
      </w:r>
      <w:r>
        <w:rPr>
          <w:rtl w:val="true"/>
        </w:rPr>
        <w:t>נדרשת גם היא ליתן את חלקה במלחמת החורמה שמנהלת מדינת ישראל נגד מבצעי העבירות הללו</w:t>
      </w:r>
      <w:r>
        <w:rPr>
          <w:rtl w:val="true"/>
        </w:rPr>
        <w:t xml:space="preserve">, </w:t>
      </w:r>
      <w:r>
        <w:rPr>
          <w:rtl w:val="true"/>
        </w:rPr>
        <w:t>ולפיכך מדיניות הענישה מצויה במגמת החמרה</w:t>
      </w:r>
      <w:r>
        <w:rPr>
          <w:rtl w:val="true"/>
        </w:rPr>
        <w:t>".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>
          <w:lang w:eastAsia="he-IL"/>
        </w:rPr>
      </w:pPr>
      <w:r>
        <w:rPr>
          <w:rtl w:val="true"/>
          <w:lang w:eastAsia="he-IL"/>
        </w:rPr>
        <w:t>בעניין זה ראו בנוסף</w:t>
      </w:r>
      <w:r>
        <w:rPr>
          <w:rtl w:val="true"/>
          <w:lang w:eastAsia="he-IL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lang w:eastAsia="he-IL"/>
          </w:rPr>
          <w:t>3793/20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מורייחי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 ישראל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23.11.20</w:t>
      </w:r>
      <w:r>
        <w:rPr>
          <w:rtl w:val="true"/>
          <w:lang w:eastAsia="he-IL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  <w:lang w:eastAsia="he-IL"/>
          </w:rPr>
          <w:t>רע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lang w:eastAsia="he-IL"/>
          </w:rPr>
          <w:t>5613/20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אלהוזייל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 ישראל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25.8.20</w:t>
      </w:r>
      <w:r>
        <w:rPr>
          <w:rtl w:val="true"/>
          <w:lang w:eastAsia="he-IL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lang w:eastAsia="he-IL"/>
          </w:rPr>
          <w:t>1944/20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 ישראל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אמארה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2.9.20</w:t>
      </w:r>
      <w:r>
        <w:rPr>
          <w:rtl w:val="true"/>
          <w:lang w:eastAsia="he-IL"/>
        </w:rPr>
        <w:t>)</w:t>
      </w:r>
      <w:r>
        <w:rPr>
          <w:rtl w:val="true"/>
          <w:lang w:eastAsia="he-IL"/>
        </w:rPr>
        <w:t>;</w:t>
      </w:r>
      <w:r>
        <w:rPr>
          <w:rtl w:val="true"/>
          <w:lang w:eastAsia="he-IL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lang w:eastAsia="he-IL"/>
          </w:rPr>
          <w:t>5330/20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ענבתאוי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 ישראל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22.11.20</w:t>
      </w:r>
      <w:r>
        <w:rPr>
          <w:rtl w:val="true"/>
          <w:lang w:eastAsia="he-IL"/>
        </w:rPr>
        <w:t xml:space="preserve">).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>מדיניות הענישה הנוהגת</w:t>
      </w:r>
      <w:r>
        <w:rPr>
          <w:rtl w:val="true"/>
        </w:rPr>
        <w:t xml:space="preserve"> מעלה כי הואיל והתיקון ל</w:t>
      </w:r>
      <w:hyperlink r:id="rId2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בנושא גניבת נשק הוא מסוף שנת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הרי שטרם ניתנו גזרי דין רבים בעבירה זו בנסיבות דומות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מעבירות נשיאת הנשק בנסיבות דומות</w:t>
      </w:r>
      <w:r>
        <w:rPr>
          <w:rtl w:val="true"/>
        </w:rPr>
        <w:t xml:space="preserve">, </w:t>
      </w:r>
      <w:r>
        <w:rPr>
          <w:rtl w:val="true"/>
        </w:rPr>
        <w:t>ניתן לבחון את מדיניות הענישה הנוהגת המתאימה אף למקרה הנוכחי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7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6620/20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אשקור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29.9.20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דחה בית המשפט העליון ערעורו של נאשם אשר הורשע על פי הודאתו בעבירות של גניבת נשק ונשיאת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הבחין ברכב חונה ותא המטען שלו פתוח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בתא המטען הבחין הנאשם בתיק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פתח אותו וגנב מתוכו אקדח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החביא את האקדח במקום סמוך ולאחר מספר ימים חזר למקום עם אחר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והם נטלו את האקדח והובילו אותו לביתו של האחר שם החביאו אותו עד למעצרם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על פי הסדר הטיעון המאשימה הגבילה עצמה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18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והטיל על הנאשם בעל עבר פלילי עונש של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 xml:space="preserve">ראו גם </w:t>
      </w:r>
      <w:hyperlink r:id="rId28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8008-07-19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שתאת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[</w:t>
      </w:r>
      <w:r>
        <w:rPr>
          <w:rStyle w:val="default"/>
          <w:rFonts w:cs="David" w:ascii="David" w:hAnsi="David"/>
        </w:rPr>
        <w:t>6.8.20</w:t>
      </w:r>
      <w:r>
        <w:rPr>
          <w:rStyle w:val="default"/>
          <w:rFonts w:cs="David" w:ascii="David" w:hAnsi="David"/>
          <w:rtl w:val="true"/>
        </w:rPr>
        <w:t xml:space="preserve">]).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9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6047/20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רוש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18.11.20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קיבל בית המשפט העליון ערעורו של נאשם שהורשע על פי הודאתו בעבירה של נשיאת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רכב על אופנוע כשהוא נושא אקדח ובו מחסנית עם כדור אחד ומשתיק קול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הצדדים עתרו במסגרת הסדר טיעון להשית על הנאשם עונש של </w:t>
      </w:r>
      <w:r>
        <w:rPr>
          <w:rStyle w:val="default"/>
          <w:rFonts w:cs="David" w:ascii="David" w:hAnsi="David"/>
        </w:rPr>
        <w:t>24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חודשי מאסר בפועל והפעלת מאסר מותנה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>סה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 xml:space="preserve">כ </w:t>
      </w:r>
      <w:r>
        <w:rPr>
          <w:rStyle w:val="default"/>
          <w:rFonts w:cs="David" w:ascii="David" w:hAnsi="David"/>
        </w:rPr>
        <w:t>30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</w:t>
      </w:r>
      <w:r>
        <w:rPr>
          <w:rStyle w:val="default"/>
          <w:rFonts w:cs="David" w:ascii="David" w:hAnsi="David"/>
          <w:rtl w:val="true"/>
        </w:rPr>
        <w:t xml:space="preserve">). </w:t>
      </w:r>
      <w:r>
        <w:rPr>
          <w:rStyle w:val="default"/>
          <w:rFonts w:ascii="David" w:hAnsi="David"/>
          <w:rtl w:val="true"/>
        </w:rPr>
        <w:t>בית המשפט המחוזי דחה את הסדר הטיעון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4.5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שנות מאסר בפועל</w:t>
      </w:r>
      <w:r>
        <w:rPr>
          <w:rStyle w:val="default"/>
          <w:rFonts w:ascii="David" w:hAnsi="David"/>
          <w:rtl w:val="true"/>
        </w:rPr>
        <w:t xml:space="preserve"> והשית על הנאשם עונש של </w:t>
      </w:r>
      <w:r>
        <w:rPr>
          <w:rStyle w:val="default"/>
          <w:rFonts w:cs="David" w:ascii="David" w:hAnsi="David"/>
        </w:rPr>
        <w:t>30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חודשי מאסר בפועל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42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 כולל הפעלת התנאי</w:t>
      </w:r>
      <w:r>
        <w:rPr>
          <w:rStyle w:val="default"/>
          <w:rFonts w:cs="David" w:ascii="David" w:hAnsi="David"/>
          <w:rtl w:val="true"/>
        </w:rPr>
        <w:t xml:space="preserve">). </w:t>
      </w:r>
      <w:r>
        <w:rPr>
          <w:rStyle w:val="default"/>
          <w:rFonts w:ascii="David" w:hAnsi="David"/>
          <w:rtl w:val="true"/>
        </w:rPr>
        <w:t>בית משפט העליון הקל בעונשו של 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בהסכמת הצדדים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והטיל עליו </w:t>
      </w:r>
      <w:r>
        <w:rPr>
          <w:rStyle w:val="default"/>
          <w:rFonts w:cs="David" w:ascii="David" w:hAnsi="David"/>
          <w:b/>
          <w:bCs/>
        </w:rPr>
        <w:t>24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>סה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 xml:space="preserve">כ </w:t>
      </w:r>
      <w:r>
        <w:rPr>
          <w:rStyle w:val="default"/>
          <w:rFonts w:cs="David" w:ascii="David" w:hAnsi="David"/>
        </w:rPr>
        <w:t>30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 כולל הפעלת התנאי</w:t>
      </w:r>
      <w:r>
        <w:rPr>
          <w:rStyle w:val="default"/>
          <w:rFonts w:cs="David" w:ascii="David" w:hAnsi="David"/>
          <w:rtl w:val="true"/>
        </w:rPr>
        <w:t xml:space="preserve">).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0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3156/11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זראיעה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מדינת ישראל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21.2.12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נדחה ערעורו של הנאשם אשר הורשע על פי הודאתו בעבירות של נשיאה והובלת נשק והסתייעות ברכב לביצוע פשע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נסע ברכבו לאחר שהסליק בו אקדח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מחסנית טעונה בכדורים וקופסאות עם כדורי אקדח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האקדח והתחמושת נתפסו בחיפוש שגרתי שביצעה המשטרה ברכב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מנהל אורח חיים נורמטיבי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אב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4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ילדים ומפרנס יחיד במשפחתו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נדון לעונש של </w:t>
      </w:r>
      <w:r>
        <w:rPr>
          <w:rStyle w:val="default"/>
          <w:rFonts w:cs="David" w:ascii="David" w:hAnsi="David"/>
          <w:b/>
          <w:bCs/>
        </w:rPr>
        <w:t>24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1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2564/19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אזברגה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18.7.19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נדחה ערעורו של נאשם שהורשע על פי הודאתו בעבירה של נשיאת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רכש אקדח במטרה לסחור בו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וקיבל לרשותו אקדח </w:t>
      </w:r>
      <w:r>
        <w:rPr>
          <w:rStyle w:val="default"/>
          <w:rFonts w:cs="David" w:ascii="David" w:hAnsi="David"/>
        </w:rPr>
        <w:t>9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מ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>מ עם מחסנית תואמת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בתמורה כספית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ואחר נכנסו לרכבו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הסתירו את האקדח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ונסעו עד שנעצרו על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ascii="David" w:hAnsi="David"/>
          <w:rtl w:val="true"/>
        </w:rPr>
        <w:t>ידי המשטרה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נקבע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שבין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נדון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16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2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4215/18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</w:t>
      </w:r>
      <w:r>
        <w:rPr>
          <w:rStyle w:val="default"/>
          <w:rFonts w:cs="David" w:ascii="David" w:hAnsi="David"/>
          <w:b/>
          <w:bCs/>
          <w:rtl w:val="true"/>
        </w:rPr>
        <w:t>'</w:t>
      </w:r>
      <w:r>
        <w:rPr>
          <w:rStyle w:val="default"/>
          <w:rFonts w:ascii="David" w:hAnsi="David"/>
          <w:b/>
          <w:b/>
          <w:bCs/>
          <w:rtl w:val="true"/>
        </w:rPr>
        <w:t>טיב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8.7.18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נדחה ערעורו של נאשם אשר הורשע על פי הודאתו בעבירות של נשיאת נשק ותחמושת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שהה בסמטה סמוכה לחצר ביתו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כשהוא נושא על גופו אקדח טעון בארבעה כדורים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צירף שני תיקים של החזקת סמים לצריכה עצמית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נאשם צעיר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לחובתו הרשעה קודמת אחת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נקבע מתחם שבין 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נדון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3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52416-06-20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מתאני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12.1.21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הורשע נאשם על פי הודאתו בעבירת נשיאת נשק ותחמושת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לידי הנאשם הגיע אקדח גנוב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והוא יצא ממתחם ביתו כשהוא נושא עליו את האקדח שהיה טעון במחסנית וכדורים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נקבע מתחם שבין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והנאשם בעל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נדון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23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4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41522-05-18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אזברגה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10.8.20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בעבירות של נשיאת נשק ותחמושת והפרעה לשוטר במילוי תפקידו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יצא מרכבו כשהוא נושא אקדח חצי אוטומטי והטמינו תחת חולצתו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כשהבחין בשוטרים נמלט מהמקום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השוטרים רדפו אחריו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הוא קפץ מעל לחומה והאקדח נפל מגופו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b/>
          <w:bCs/>
          <w:rtl w:val="true"/>
        </w:rPr>
        <w:t>.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הנאשם בעל נסיבות חיים קשות ועבר פלילי לא מכביד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נדון לעונש של </w:t>
      </w:r>
      <w:r>
        <w:rPr>
          <w:rStyle w:val="default"/>
          <w:rFonts w:cs="David" w:ascii="David" w:hAnsi="David"/>
          <w:b/>
          <w:bCs/>
        </w:rPr>
        <w:t>21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>סה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 xml:space="preserve">כ </w:t>
      </w:r>
      <w:r>
        <w:rPr>
          <w:rStyle w:val="default"/>
          <w:rFonts w:cs="David" w:ascii="David" w:hAnsi="David"/>
        </w:rPr>
        <w:t>26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כולל הפעלת מאסר על תנאי</w:t>
      </w:r>
      <w:r>
        <w:rPr>
          <w:rStyle w:val="default"/>
          <w:rFonts w:cs="David" w:ascii="David" w:hAnsi="David"/>
          <w:rtl w:val="true"/>
        </w:rPr>
        <w:t>).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5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14115-07-19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b/>
          <w:bCs/>
          <w:rtl w:val="true"/>
        </w:rPr>
        <w:t>'</w:t>
      </w:r>
      <w:r>
        <w:rPr>
          <w:rStyle w:val="default"/>
          <w:rFonts w:ascii="David" w:hAnsi="David"/>
          <w:b/>
          <w:b/>
          <w:bCs/>
          <w:rtl w:val="true"/>
        </w:rPr>
        <w:t>בארין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28.1.20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בעבירות נשיאת נשק והפרעה לשוטר במילוי תפקידו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החזיק על גופו אקדח ומחסנית ובה כדורים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משהבחין בניידת משטרה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נמלט מהמקום כשהשוטרים בעקבותיו עד שנתפס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שבין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צעיר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בעברו הרשעה אחת שהתיישנה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נדון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בהתאם 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hyperlink r:id="rId37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), </w:t>
      </w:r>
      <w:r>
        <w:rPr>
          <w:rtl w:val="true"/>
        </w:rPr>
        <w:t xml:space="preserve">אני קובע כי </w:t>
      </w:r>
      <w:r>
        <w:rPr>
          <w:b/>
          <w:b/>
          <w:bCs/>
          <w:rtl w:val="true"/>
        </w:rPr>
        <w:t>מתחם העונש ההולם הוא החל מ</w:t>
      </w:r>
      <w:r>
        <w:rPr>
          <w:b/>
          <w:bCs/>
          <w:rtl w:val="true"/>
        </w:rPr>
        <w:t>-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ל</w:t>
      </w:r>
      <w:r>
        <w:rPr>
          <w:b/>
          <w:bCs/>
          <w:rtl w:val="true"/>
        </w:rPr>
        <w:t>-</w:t>
      </w:r>
      <w:r>
        <w:rPr>
          <w:b/>
          <w:bCs/>
        </w:rPr>
        <w:t>44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חריגה מהמתחם משיקולי שיקום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בית המשפט רשאי לחרוג לקולה ממתחם העונש ההולם משיקולי שיקום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הפרמטרים המרכזיים אשר ממצביעים על סיכוי שיקום הם המוטיבציה שהפגין הנאשם להשתקם</w:t>
      </w:r>
      <w:r>
        <w:rPr>
          <w:rtl w:val="true"/>
        </w:rPr>
        <w:t xml:space="preserve">; </w:t>
      </w:r>
      <w:r>
        <w:rPr>
          <w:rtl w:val="true"/>
        </w:rPr>
        <w:t>הליך של גמילה מהתמכרות שהוא עובר</w:t>
      </w:r>
      <w:r>
        <w:rPr>
          <w:rtl w:val="true"/>
        </w:rPr>
        <w:t xml:space="preserve">; </w:t>
      </w:r>
      <w:r>
        <w:rPr>
          <w:rtl w:val="true"/>
        </w:rPr>
        <w:t>השתלבות מוצלחת בהליכים טיפוליים שונים</w:t>
      </w:r>
      <w:r>
        <w:rPr>
          <w:rtl w:val="true"/>
        </w:rPr>
        <w:t xml:space="preserve">; </w:t>
      </w:r>
      <w:r>
        <w:rPr>
          <w:rtl w:val="true"/>
        </w:rPr>
        <w:t>אינדיקציות לשינוי עמוק בהתנהגות ובדרך החשיבה</w:t>
      </w:r>
      <w:r>
        <w:rPr>
          <w:rtl w:val="true"/>
        </w:rPr>
        <w:t xml:space="preserve">; </w:t>
      </w:r>
      <w:r>
        <w:rPr>
          <w:rtl w:val="true"/>
        </w:rPr>
        <w:t xml:space="preserve">הבעת חרטה כנה על המעשים והפגנת אמפתיה כלפי נפגעי העבירה </w:t>
      </w:r>
      <w:r>
        <w:rPr>
          <w:rtl w:val="true"/>
        </w:rPr>
        <w:t>(</w:t>
      </w:r>
      <w:r>
        <w:rPr>
          <w:rtl w:val="true"/>
        </w:rPr>
        <w:t>במקרה שבו קיים נפגע עבירה</w:t>
      </w:r>
      <w:r>
        <w:rPr>
          <w:rtl w:val="true"/>
        </w:rPr>
        <w:t xml:space="preserve">). </w:t>
      </w:r>
      <w:r>
        <w:rPr>
          <w:rtl w:val="true"/>
        </w:rPr>
        <w:t>בהקשר זה נקבע בפסיקה כי שילוב בין שינוי מהותי בהתייחסות הרגשית לאירוע העבירה המתבטא בנטילת אחריות</w:t>
      </w:r>
      <w:r>
        <w:rPr>
          <w:rtl w:val="true"/>
        </w:rPr>
        <w:t xml:space="preserve">, </w:t>
      </w:r>
      <w:r>
        <w:rPr>
          <w:rtl w:val="true"/>
        </w:rPr>
        <w:t>כפרה והבעת אמפתיה לנפגעי העבירה לבין אינדיקציות אובייקטיביות לקיומו של תהליך שיקומי</w:t>
      </w:r>
      <w:r>
        <w:rPr>
          <w:rtl w:val="true"/>
        </w:rPr>
        <w:t>-</w:t>
      </w:r>
      <w:r>
        <w:rPr>
          <w:rtl w:val="true"/>
        </w:rPr>
        <w:t>טיפולי מוצלח וחזרה לדרך הישר</w:t>
      </w:r>
      <w:r>
        <w:rPr>
          <w:rtl w:val="true"/>
        </w:rPr>
        <w:t xml:space="preserve">, </w:t>
      </w:r>
      <w:r>
        <w:rPr>
          <w:rtl w:val="true"/>
        </w:rPr>
        <w:t xml:space="preserve">עשויים להצביע על </w:t>
      </w:r>
      <w:r>
        <w:rPr>
          <w:rtl w:val="true"/>
        </w:rPr>
        <w:t>"</w:t>
      </w:r>
      <w:r>
        <w:rPr>
          <w:rtl w:val="true"/>
        </w:rPr>
        <w:t>סיכוי של ממש לשיקום</w:t>
      </w:r>
      <w:r>
        <w:rPr>
          <w:rtl w:val="true"/>
        </w:rPr>
        <w:t xml:space="preserve">" </w:t>
      </w:r>
      <w:r>
        <w:rPr>
          <w:rtl w:val="true"/>
        </w:rPr>
        <w:t xml:space="preserve">כלשונו של </w:t>
      </w:r>
      <w:hyperlink r:id="rId38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דברים אלה זוכים למשנה תוקף מקום בו מדובר באדם צעיר ונעדר עבר פלילי </w:t>
      </w:r>
      <w:r>
        <w:rPr>
          <w:rtl w:val="true"/>
        </w:rPr>
        <w:t>(</w:t>
      </w:r>
      <w:r>
        <w:rPr>
          <w:rtl w:val="true"/>
        </w:rPr>
        <w:t>ראו דברי כב</w:t>
      </w:r>
      <w:r>
        <w:rPr>
          <w:rtl w:val="true"/>
        </w:rPr>
        <w:t xml:space="preserve">' </w:t>
      </w:r>
      <w:r>
        <w:rPr>
          <w:rtl w:val="true"/>
        </w:rPr>
        <w:t>השופטת ד</w:t>
      </w:r>
      <w:r>
        <w:rPr>
          <w:rtl w:val="true"/>
        </w:rPr>
        <w:t xml:space="preserve">' </w:t>
      </w:r>
      <w:r>
        <w:rPr>
          <w:rtl w:val="true"/>
        </w:rPr>
        <w:t>ברק ארז ב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6637/17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קרנדל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[</w:t>
      </w:r>
      <w:r>
        <w:rPr/>
        <w:t>18.4.18</w:t>
      </w:r>
      <w:r>
        <w:rPr>
          <w:rtl w:val="true"/>
        </w:rPr>
        <w:t xml:space="preserve">]).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הנאשם שולב בשיחות מעקביות בשירות המבחן בתקופת צו פיקוח המעצר ומסר בדיקות שתן לאיתור שרידי סם שנמצאו נקיות מסמים</w:t>
      </w:r>
      <w:r>
        <w:rPr>
          <w:rtl w:val="true"/>
        </w:rPr>
        <w:t xml:space="preserve">. </w:t>
      </w:r>
      <w:r>
        <w:rPr>
          <w:rtl w:val="true"/>
        </w:rPr>
        <w:t>בהמשך הופנה למרכז לטיפול בהתמכרויות לאחר שביטא מוטיבציה לבחון את דפוסי השימוש בחומרים פסיכו</w:t>
      </w:r>
      <w:r>
        <w:rPr>
          <w:rtl w:val="true"/>
        </w:rPr>
        <w:t>-</w:t>
      </w:r>
      <w:r>
        <w:rPr>
          <w:rtl w:val="true"/>
        </w:rPr>
        <w:t>אקטיביים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30.8.20</w:t>
      </w:r>
      <w:r>
        <w:rPr>
          <w:rtl w:val="true"/>
        </w:rPr>
        <w:t xml:space="preserve"> </w:t>
      </w:r>
      <w:r>
        <w:rPr>
          <w:rtl w:val="true"/>
        </w:rPr>
        <w:t>החל בהליך אבחון ב</w:t>
      </w:r>
      <w:r>
        <w:rPr>
          <w:rtl w:val="true"/>
        </w:rPr>
        <w:t>"</w:t>
      </w:r>
      <w:r>
        <w:rPr>
          <w:rtl w:val="true"/>
        </w:rPr>
        <w:t>מרכז חוסן</w:t>
      </w:r>
      <w:r>
        <w:rPr>
          <w:rtl w:val="true"/>
        </w:rPr>
        <w:t xml:space="preserve">" </w:t>
      </w:r>
      <w:r>
        <w:rPr>
          <w:rtl w:val="true"/>
        </w:rPr>
        <w:t xml:space="preserve">ובחודש אוקטובר </w:t>
      </w:r>
      <w:r>
        <w:rPr/>
        <w:t>20</w:t>
      </w:r>
      <w:r>
        <w:rPr>
          <w:rtl w:val="true"/>
        </w:rPr>
        <w:t xml:space="preserve">' </w:t>
      </w:r>
      <w:r>
        <w:rPr>
          <w:rtl w:val="true"/>
        </w:rPr>
        <w:t>התקיימה וועדת אבחון במרכז אשר קבעה תכנית טיפול הכוללת פגישה פרטנית שבועית</w:t>
      </w:r>
      <w:r>
        <w:rPr>
          <w:rtl w:val="true"/>
        </w:rPr>
        <w:t xml:space="preserve">, </w:t>
      </w:r>
      <w:r>
        <w:rPr>
          <w:rtl w:val="true"/>
        </w:rPr>
        <w:t>מסירת בדיקות שתן קבועות והשתלבות בהמשך בקבוצה טיפולית</w:t>
      </w:r>
      <w:r>
        <w:rPr>
          <w:rtl w:val="true"/>
        </w:rPr>
        <w:t xml:space="preserve">. </w:t>
      </w:r>
      <w:r>
        <w:rPr>
          <w:rtl w:val="true"/>
        </w:rPr>
        <w:t>זאת לאחר שדווח שהנאשם מעוניין לשפר ולקדם את חייו וכי הוא מגלה הבנה באשר להשפעות ההרסניות של השימוש בחומרים על מצבו</w:t>
      </w:r>
      <w:r>
        <w:rPr>
          <w:rtl w:val="true"/>
        </w:rPr>
        <w:t xml:space="preserve">. </w:t>
      </w:r>
      <w:r>
        <w:rPr>
          <w:rtl w:val="true"/>
        </w:rPr>
        <w:t>גורמי הטיפול דווחו שהנאשם מגיע באופן קבוע למפגשים הפרטניים והקבוצתיים והוא משתף במצבו האישי</w:t>
      </w:r>
      <w:r>
        <w:rPr>
          <w:rtl w:val="true"/>
        </w:rPr>
        <w:t xml:space="preserve">, </w:t>
      </w:r>
      <w:r>
        <w:rPr>
          <w:rtl w:val="true"/>
        </w:rPr>
        <w:t>הרגשי והמשפחתי ופותח צוהר לעולמו הפנימי שהוא רווי אכזבות</w:t>
      </w:r>
      <w:r>
        <w:rPr>
          <w:rtl w:val="true"/>
        </w:rPr>
        <w:t xml:space="preserve">, </w:t>
      </w:r>
      <w:r>
        <w:rPr>
          <w:rtl w:val="true"/>
        </w:rPr>
        <w:t>בדידות וכאב</w:t>
      </w:r>
      <w:r>
        <w:rPr>
          <w:rtl w:val="true"/>
        </w:rPr>
        <w:t xml:space="preserve">. </w:t>
      </w:r>
      <w:r>
        <w:rPr>
          <w:rtl w:val="true"/>
        </w:rPr>
        <w:t>גורמי הטיפול התרשמו שהנאשם מגלה הבנה למצבו ורצון עז לשפר את חייו</w:t>
      </w:r>
      <w:r>
        <w:rPr>
          <w:rtl w:val="true"/>
        </w:rPr>
        <w:t xml:space="preserve">. </w:t>
      </w:r>
      <w:r>
        <w:rPr>
          <w:rtl w:val="true"/>
        </w:rPr>
        <w:t>הנאשם הופנה למרכז עוצמה</w:t>
      </w:r>
      <w:r>
        <w:rPr>
          <w:rtl w:val="true"/>
        </w:rPr>
        <w:t xml:space="preserve">, </w:t>
      </w:r>
      <w:r>
        <w:rPr>
          <w:rtl w:val="true"/>
        </w:rPr>
        <w:t>עבר ראיון התאמה וצפוי להתחיל בהליך של ליווי לתעסוקה מקצועית</w:t>
      </w:r>
      <w:r>
        <w:rPr>
          <w:rtl w:val="true"/>
        </w:rPr>
        <w:t xml:space="preserve">. </w:t>
      </w:r>
      <w:r>
        <w:rPr>
          <w:rtl w:val="true"/>
        </w:rPr>
        <w:t>בשיחות עמו הנאשם תיאר שנתרם מהטיפול במרכז חוסן וביטא תובנות לגבי כשלים בהתנהלותו בעבר</w:t>
      </w:r>
      <w:r>
        <w:rPr>
          <w:rtl w:val="true"/>
        </w:rPr>
        <w:t xml:space="preserve">, </w:t>
      </w:r>
      <w:r>
        <w:rPr>
          <w:rtl w:val="true"/>
        </w:rPr>
        <w:t>והוא מבטא שאיפות נורמטיביות לעתיד</w:t>
      </w:r>
      <w:r>
        <w:rPr>
          <w:rtl w:val="true"/>
        </w:rPr>
        <w:t xml:space="preserve">. </w:t>
      </w:r>
      <w:r>
        <w:rPr>
          <w:rtl w:val="true"/>
        </w:rPr>
        <w:t>כפי שציינה העובדת הסוציאלית ביחידה לטיפול בהתמכרויות</w:t>
      </w:r>
      <w:r>
        <w:rPr>
          <w:rtl w:val="true"/>
        </w:rPr>
        <w:t xml:space="preserve">, </w:t>
      </w:r>
      <w:r>
        <w:rPr>
          <w:rtl w:val="true"/>
        </w:rPr>
        <w:t>הנאשם משתף פעולה באופן מלא עם גורמי הטיפול בתכנית</w:t>
      </w:r>
      <w:r>
        <w:rPr>
          <w:rtl w:val="true"/>
        </w:rPr>
        <w:t xml:space="preserve">, </w:t>
      </w:r>
      <w:r>
        <w:rPr>
          <w:rtl w:val="true"/>
        </w:rPr>
        <w:t>מגיע באופן קבוע לכל הפגישות המתוכננות עבורו</w:t>
      </w:r>
      <w:r>
        <w:rPr>
          <w:rtl w:val="true"/>
        </w:rPr>
        <w:t xml:space="preserve">, </w:t>
      </w:r>
      <w:r>
        <w:rPr>
          <w:rtl w:val="true"/>
        </w:rPr>
        <w:t>ומוסר בדיקות שתן נקיות מחומרים פסיכו</w:t>
      </w:r>
      <w:r>
        <w:rPr>
          <w:rtl w:val="true"/>
        </w:rPr>
        <w:t>-</w:t>
      </w:r>
      <w:r>
        <w:rPr>
          <w:rtl w:val="true"/>
        </w:rPr>
        <w:t xml:space="preserve">אקטיביים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שירות המבחן המליץ לאפשר המשך התהליך השיקומי שאותו החל הנאשם ולהטיל עליו צו מבחן למשך שנה לצד צו 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</w:rPr>
        <w:t>יישום המבחנים שנקבעו בפסיקה כמפורט לעיל לנסיבות המקרה דנן</w:t>
      </w:r>
      <w:r>
        <w:rPr>
          <w:rtl w:val="true"/>
        </w:rPr>
        <w:t xml:space="preserve">, </w:t>
      </w:r>
      <w:r>
        <w:rPr>
          <w:rtl w:val="true"/>
        </w:rPr>
        <w:t>מוביל למסקנה שלא ניתן לקבוע כבר עתה שהנאשם השתקם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סבורני כי יש לקבוע שקיים סיכוי של ממש שהנאשם ישתקם</w:t>
      </w:r>
      <w:r>
        <w:rPr>
          <w:rtl w:val="true"/>
        </w:rPr>
        <w:t xml:space="preserve">. </w:t>
      </w:r>
      <w:r>
        <w:rPr>
          <w:rtl w:val="true"/>
        </w:rPr>
        <w:t>זאת לאור העובדה שהנאשם שולב בטיפול לגמילה מסמים ואלכוהול לצד שיקום במישור התעסוקתי</w:t>
      </w:r>
      <w:r>
        <w:rPr>
          <w:rtl w:val="true"/>
        </w:rPr>
        <w:t xml:space="preserve">, </w:t>
      </w:r>
      <w:r>
        <w:rPr>
          <w:rtl w:val="true"/>
        </w:rPr>
        <w:t>ולאור העובדה שצריכת אלכוהול וסמים מהווה גורם סיכון מרכזי לביצוע עבירות נוספות על</w:t>
      </w:r>
      <w:r>
        <w:rPr>
          <w:rtl w:val="true"/>
        </w:rPr>
        <w:t>-</w:t>
      </w:r>
      <w:r>
        <w:rPr>
          <w:rtl w:val="true"/>
        </w:rPr>
        <w:t>ידי הנאשם</w:t>
      </w:r>
      <w:r>
        <w:rPr>
          <w:rtl w:val="true"/>
        </w:rPr>
        <w:t xml:space="preserve">, </w:t>
      </w:r>
      <w:r>
        <w:rPr>
          <w:rtl w:val="true"/>
        </w:rPr>
        <w:t>ונמצאת אף ברקע לביצוע המעשים בתיק זה – גם אם לא בקשר ישיר אליהם</w:t>
      </w:r>
      <w:r>
        <w:rPr>
          <w:rtl w:val="true"/>
        </w:rPr>
        <w:t xml:space="preserve">. </w:t>
      </w:r>
      <w:r>
        <w:rPr>
          <w:rtl w:val="true"/>
        </w:rPr>
        <w:t>הנאשם עושה ניסיון ממשי לשוב לדרך הישר</w:t>
      </w:r>
      <w:r>
        <w:rPr>
          <w:rtl w:val="true"/>
        </w:rPr>
        <w:t xml:space="preserve">, </w:t>
      </w:r>
      <w:r>
        <w:rPr>
          <w:rtl w:val="true"/>
        </w:rPr>
        <w:t xml:space="preserve">וסבורני כי יש לקבוע שקיים סיכוי של ממש שישתקם כדרישת </w:t>
      </w:r>
      <w:hyperlink r:id="rId40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בחוק באופן המצדיק חריגה קלה ממתחם העונש ההולם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אין המדובר בשיקום משמעותי ומלא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  <w:lang w:eastAsia="he-IL"/>
        </w:rPr>
        <w:t>יצדיק הטלת עונש על פי שקולי שיקומו של הנאשם בלבד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 נסיגה מוחלטת של שיקולי הענישה האחרים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בנסיבות 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מקום לחרוג מהמתחם במידה מועטה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ובשים לב לעקרונות הענישה הנוספים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לרבות ההלימה והרתעת הרבים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סבורני כי עונש של עבודות שירות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ואף עונש של מאסר בפועל קצר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בנסיבות המקרה דנן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יוביל לפגיעה בלתי מידתית בעקרונות 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לאור האמור לא מצאתי לקבל את המלצת שירות המבחן להטלת צו 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צ לצד צד מבחן</w:t>
      </w:r>
      <w:r>
        <w:rPr>
          <w:rtl w:val="true"/>
          <w:lang w:eastAsia="he-IL"/>
        </w:rPr>
        <w:t xml:space="preserve">. </w:t>
      </w:r>
    </w:p>
    <w:p>
      <w:pPr>
        <w:pStyle w:val="Style14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גזירת העונש המתאים לנאשם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>בגזירת העונש המתאים לנאשם</w:t>
      </w:r>
      <w:r>
        <w:rPr>
          <w:rtl w:val="true"/>
        </w:rPr>
        <w:t xml:space="preserve">, </w:t>
      </w:r>
      <w:r>
        <w:rPr>
          <w:rtl w:val="true"/>
        </w:rPr>
        <w:t>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יש להתחשב </w:t>
      </w:r>
      <w:r>
        <w:rPr>
          <w:b/>
          <w:b/>
          <w:bCs/>
          <w:rtl w:val="true"/>
        </w:rPr>
        <w:t>בנסיבות שאינן 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במסגרת זו </w:t>
      </w:r>
      <w:r>
        <w:rPr>
          <w:rStyle w:val="default"/>
          <w:rtl w:val="true"/>
        </w:rPr>
        <w:t xml:space="preserve">מן הראוי לתת את הדעת לכך הנאשם בן </w:t>
      </w:r>
      <w:r>
        <w:rPr>
          <w:rStyle w:val="default"/>
        </w:rPr>
        <w:t>31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אשר לאורך השנים התקשה לגלות יציבות במישורי חייו השונים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ניהל אורח חיים בלייני וצרך אלכוהול וסמים באופן התמכרותי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מובן שעונש מאסר ממושך יקשה על הנאשם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הודה ונטל אחריות לביצוע העבירה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השתלב בטיפול במסגרת המרכז לטיפול בהתמכרויות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ובמסגרת זו מטופל בטיפול פרטני וקבוצתי ומוסר בדיקות שתן המעידות על ניקיון מסמים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לאחרונה הופנה למרכז ללווי תעסוקתי במסגרתו אמור להשתלב בקורס מקצועי ובהמשך בתעסוקה מקצועית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משתף פעולה ולהערכת שירות המבחן ישנה חשיבות ניכרת בהמשך הטיפול והשיקום שלו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עברו הפלילי של הנאשם כולל חמש הרשעות קודמות בין השנים </w:t>
      </w:r>
      <w:r>
        <w:rPr>
          <w:rStyle w:val="default"/>
        </w:rPr>
        <w:t>2008-2013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בגין ביצוע עבירות רכוש והיעדרות מהשירות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בגין עבירות הרכוש נשא הנאשם בעונש של עבודות שירות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ובגין עבירות של היעדר מהשירות נשא הנאשם בעונשי מאסר במסגרת הצבאית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כמו כן נתתי דעתי לתקופה בת למעלה מחודשיים שבה היה עצור ולתקופה הממושכת שבה היה עצור בפיקוח אלקטרוני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b/>
          <w:bCs/>
          <w:u w:val="single"/>
        </w:rPr>
      </w:pPr>
      <w:r>
        <w:rPr>
          <w:rStyle w:val="default"/>
          <w:rtl w:val="true"/>
        </w:rPr>
        <w:t>באיזון בין השיקולים השונים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סבורני כי יש לגזור על הנאשם עונש נמוך במעט מהרף התחתון של מתחם העונש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לצד מאסר על תנאי</w:t>
      </w:r>
      <w:r>
        <w:rPr>
          <w:rtl w:val="true"/>
        </w:rPr>
        <w:t xml:space="preserve">. </w:t>
      </w:r>
      <w:r>
        <w:rPr>
          <w:rtl w:val="true"/>
        </w:rPr>
        <w:t>יש לקוות שהנאשם ישכיל לנצל את תקופת המאסר שמוטלת עליו לשם השלמת תהליך הטיפול והשיקום שאותו החל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 דבר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אשר 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 גוזר על הנאשם את העונשים 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בניכוי ימי מעצרו החל מיום </w:t>
      </w:r>
      <w:r>
        <w:rPr>
          <w:rStyle w:val="default"/>
          <w:rFonts w:cs="David" w:ascii="David" w:hAnsi="David"/>
        </w:rPr>
        <w:t>10.11.19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ועד ליום </w:t>
      </w:r>
      <w:r>
        <w:rPr>
          <w:rStyle w:val="default"/>
          <w:rFonts w:cs="David" w:ascii="David" w:hAnsi="David"/>
        </w:rPr>
        <w:t>2.2.20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10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לבל יעבור הנאשם במשך </w:t>
      </w:r>
      <w:r>
        <w:rPr>
          <w:rStyle w:val="default"/>
          <w:rFonts w:cs="David" w:ascii="David" w:hAnsi="David"/>
        </w:rPr>
        <w:t>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שנים מיום שחרורו ממאסר כל עבירת נשק מסוג פשע</w:t>
      </w:r>
      <w:r>
        <w:rPr>
          <w:rStyle w:val="default"/>
          <w:rFonts w:cs="David" w:ascii="David" w:hAnsi="David"/>
          <w:rtl w:val="true"/>
        </w:rPr>
        <w:t xml:space="preserve">. 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5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לבל יעבור הנאשם במשך שנה מיום שחרורו ממאסר עבירה של גניבה או עבירת נשק מסוג עוון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  <w:rFonts w:ascii="David" w:hAnsi="David" w:cs="David"/>
          <w:lang w:eastAsia="he-IL"/>
        </w:rPr>
      </w:pPr>
      <w:r>
        <w:rPr>
          <w:rtl w:val="true"/>
        </w:rPr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</w:rPr>
      </w:pPr>
      <w:r>
        <w:rPr>
          <w:rtl w:val="true"/>
          <w:lang w:eastAsia="he-IL"/>
        </w:rPr>
        <w:t xml:space="preserve">הנאשם יתייצב לריצוי מאסרו בבית הסוהר הדרים ביום </w:t>
      </w:r>
      <w:r>
        <w:rPr>
          <w:lang w:eastAsia="he-IL"/>
        </w:rPr>
        <w:t>2.5.21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עד השעה </w:t>
      </w:r>
      <w:r>
        <w:rPr>
          <w:lang w:eastAsia="he-IL"/>
        </w:rPr>
        <w:t>10:00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כשברשותו תעודת זהות או דרכון וגזר הדין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 הנאשם לתאם את הכניסה למאסר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כולל האפשרות</w:t>
      </w:r>
      <w:r>
        <w:rPr>
          <w:rtl w:val="true"/>
          <w:lang w:eastAsia="he-IL"/>
        </w:rPr>
        <w:t xml:space="preserve"> למיון מוקדם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ענף אבחון ומיון של 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טלפון</w:t>
      </w:r>
      <w:r>
        <w:rPr>
          <w:rtl w:val="true"/>
          <w:lang w:eastAsia="he-IL"/>
        </w:rPr>
        <w:t xml:space="preserve">: </w:t>
      </w:r>
      <w:r>
        <w:rPr>
          <w:lang w:eastAsia="he-IL"/>
        </w:rPr>
        <w:t>08-9787377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08-9787336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מזכירות בית המשפט תמציא העתק גזר דין לשירות המבחן</w:t>
      </w:r>
      <w:r>
        <w:rPr>
          <w:rtl w:val="true"/>
          <w:lang w:eastAsia="he-IL"/>
        </w:rPr>
        <w:t>.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firstLine="360" w:start="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אדר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39941-11-19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אדללאו אילה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Style14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5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384a.c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law/70301/384a.c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5940943" TargetMode="External"/><Relationship Id="rId10" Type="http://schemas.openxmlformats.org/officeDocument/2006/relationships/hyperlink" Target="http://www.nevo.co.il/case/25824863" TargetMode="External"/><Relationship Id="rId11" Type="http://schemas.openxmlformats.org/officeDocument/2006/relationships/hyperlink" Target="http://www.nevo.co.il/case/27309272" TargetMode="External"/><Relationship Id="rId12" Type="http://schemas.openxmlformats.org/officeDocument/2006/relationships/hyperlink" Target="http://www.nevo.co.il/case/26888657" TargetMode="External"/><Relationship Id="rId13" Type="http://schemas.openxmlformats.org/officeDocument/2006/relationships/hyperlink" Target="http://www.nevo.co.il/case/26205761" TargetMode="External"/><Relationship Id="rId14" Type="http://schemas.openxmlformats.org/officeDocument/2006/relationships/hyperlink" Target="http://www.nevo.co.il/case/27309272" TargetMode="External"/><Relationship Id="rId15" Type="http://schemas.openxmlformats.org/officeDocument/2006/relationships/hyperlink" Target="http://www.nevo.co.il/law/70301/384a.c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84a.c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6934681" TargetMode="External"/><Relationship Id="rId22" Type="http://schemas.openxmlformats.org/officeDocument/2006/relationships/hyperlink" Target="http://www.nevo.co.il/case/26747892" TargetMode="External"/><Relationship Id="rId23" Type="http://schemas.openxmlformats.org/officeDocument/2006/relationships/hyperlink" Target="http://www.nevo.co.il/case/26913995" TargetMode="External"/><Relationship Id="rId24" Type="http://schemas.openxmlformats.org/officeDocument/2006/relationships/hyperlink" Target="http://www.nevo.co.il/case/26538254" TargetMode="External"/><Relationship Id="rId25" Type="http://schemas.openxmlformats.org/officeDocument/2006/relationships/hyperlink" Target="http://www.nevo.co.il/case/26888657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7019224" TargetMode="External"/><Relationship Id="rId28" Type="http://schemas.openxmlformats.org/officeDocument/2006/relationships/hyperlink" Target="http://www.nevo.co.il/case/25834925" TargetMode="External"/><Relationship Id="rId29" Type="http://schemas.openxmlformats.org/officeDocument/2006/relationships/hyperlink" Target="http://www.nevo.co.il/case/26964498" TargetMode="External"/><Relationship Id="rId30" Type="http://schemas.openxmlformats.org/officeDocument/2006/relationships/hyperlink" Target="http://www.nevo.co.il/case/5878682" TargetMode="External"/><Relationship Id="rId31" Type="http://schemas.openxmlformats.org/officeDocument/2006/relationships/hyperlink" Target="http://www.nevo.co.il/case/25612982" TargetMode="External"/><Relationship Id="rId32" Type="http://schemas.openxmlformats.org/officeDocument/2006/relationships/hyperlink" Target="http://www.nevo.co.il/case/24263578" TargetMode="External"/><Relationship Id="rId33" Type="http://schemas.openxmlformats.org/officeDocument/2006/relationships/hyperlink" Target="http://www.nevo.co.il/case/26779313" TargetMode="External"/><Relationship Id="rId34" Type="http://schemas.openxmlformats.org/officeDocument/2006/relationships/hyperlink" Target="http://www.nevo.co.il/case/24194196" TargetMode="External"/><Relationship Id="rId35" Type="http://schemas.openxmlformats.org/officeDocument/2006/relationships/hyperlink" Target="http://www.nevo.co.il/case/25842649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40jc" TargetMode="External"/><Relationship Id="rId38" Type="http://schemas.openxmlformats.org/officeDocument/2006/relationships/hyperlink" Target="http://www.nevo.co.il/law/70301/40d.a" TargetMode="External"/><Relationship Id="rId39" Type="http://schemas.openxmlformats.org/officeDocument/2006/relationships/hyperlink" Target="http://www.nevo.co.il/case/22938500" TargetMode="External"/><Relationship Id="rId40" Type="http://schemas.openxmlformats.org/officeDocument/2006/relationships/hyperlink" Target="http://www.nevo.co.il/law/70301/40d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2021-10-11T08:26:00Z</dcterms:created>
  <dc:creator> </dc:creator>
  <dc:description/>
  <cp:keywords/>
  <dc:language>en-IL</dc:language>
  <cp:lastModifiedBy>h1</cp:lastModifiedBy>
  <dcterms:modified xsi:type="dcterms:W3CDTF">2021-10-11T08:26:00Z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אדללאו אילה</vt:lpwstr>
  </property>
  <property fmtid="{D5CDD505-2E9C-101B-9397-08002B2CF9AE}" pid="4" name="CASESLISTTMP1">
    <vt:lpwstr>25940943;25824863;27309272:2;26888657:2;26205761;26934681;26747892;26913995;26538254;27019224;25834925;26964498;5878682;25612982;24263578;26779313;24194196;25842649;22938500</vt:lpwstr>
  </property>
  <property fmtid="{D5CDD505-2E9C-101B-9397-08002B2CF9AE}" pid="5" name="CITY">
    <vt:lpwstr>מרכז</vt:lpwstr>
  </property>
  <property fmtid="{D5CDD505-2E9C-101B-9397-08002B2CF9AE}" pid="6" name="DATE">
    <vt:lpwstr>20210309</vt:lpwstr>
  </property>
  <property fmtid="{D5CDD505-2E9C-101B-9397-08002B2CF9AE}" pid="7" name="ISABSTRACT">
    <vt:lpwstr>Y</vt:lpwstr>
  </property>
  <property fmtid="{D5CDD505-2E9C-101B-9397-08002B2CF9AE}" pid="8" name="JUDGE">
    <vt:lpwstr>עמי קובו</vt:lpwstr>
  </property>
  <property fmtid="{D5CDD505-2E9C-101B-9397-08002B2CF9AE}" pid="9" name="LAWLISTTMP1">
    <vt:lpwstr>70301/384a.c:3;40jc;040d.a;040d</vt:lpwstr>
  </property>
  <property fmtid="{D5CDD505-2E9C-101B-9397-08002B2CF9AE}" pid="10" name="LAWYER">
    <vt:lpwstr>איריס פיקר;גל וולף</vt:lpwstr>
  </property>
  <property fmtid="{D5CDD505-2E9C-101B-9397-08002B2CF9AE}" pid="11" name="NEWPARTA">
    <vt:lpwstr>39941</vt:lpwstr>
  </property>
  <property fmtid="{D5CDD505-2E9C-101B-9397-08002B2CF9AE}" pid="12" name="NEWPARTB">
    <vt:lpwstr>11</vt:lpwstr>
  </property>
  <property fmtid="{D5CDD505-2E9C-101B-9397-08002B2CF9AE}" pid="13" name="NEWPARTC">
    <vt:lpwstr>19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390020210309</vt:lpwstr>
  </property>
  <property fmtid="{D5CDD505-2E9C-101B-9397-08002B2CF9AE}" pid="18" name="TYPE_N_DATE">
    <vt:lpwstr>39020210309</vt:lpwstr>
  </property>
  <property fmtid="{D5CDD505-2E9C-101B-9397-08002B2CF9AE}" pid="19" name="WORDNUMPAGES">
    <vt:lpwstr>13</vt:lpwstr>
  </property>
</Properties>
</file>