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Start w:id="1" w:name="FirstLawyer"/>
            <w:bookmarkEnd w:id="0"/>
            <w:bookmarkEnd w:id="1"/>
            <w:r>
              <w:rPr>
                <w:rFonts w:ascii="Tahoma" w:hAnsi="Tahoma" w:cs="Tahoma"/>
                <w:b/>
                <w:b/>
                <w:bCs/>
                <w:color w:val="000080"/>
                <w:sz w:val="20"/>
                <w:sz w:val="20"/>
                <w:szCs w:val="20"/>
                <w:rtl w:val="true"/>
              </w:rPr>
              <w:t>בית המשפט המחוזי בנצרת</w:t>
            </w:r>
          </w:p>
        </w:tc>
      </w:tr>
      <w:tr>
        <w:trPr>
          <w:trHeight w:val="337" w:hRule="atLeast"/>
        </w:trPr>
        <w:tc>
          <w:tcPr>
            <w:tcW w:w="3973"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39983-07-11</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זיוד</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06</w:t>
            </w:r>
            <w:r>
              <w:rPr>
                <w:b/>
                <w:bCs/>
                <w:sz w:val="26"/>
                <w:szCs w:val="26"/>
                <w:rtl w:val="true"/>
              </w:rPr>
              <w:t xml:space="preserve"> </w:t>
            </w:r>
            <w:r>
              <w:rPr>
                <w:b/>
                <w:b/>
                <w:bCs/>
                <w:sz w:val="26"/>
                <w:sz w:val="26"/>
                <w:szCs w:val="26"/>
                <w:rtl w:val="true"/>
              </w:rPr>
              <w:t xml:space="preserve">פברואר </w:t>
            </w:r>
            <w:r>
              <w:rPr>
                <w:b/>
                <w:bCs/>
                <w:sz w:val="26"/>
                <w:szCs w:val="26"/>
              </w:rPr>
              <w:t>2012</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 אשר קולה</w:t>
            </w:r>
            <w:r>
              <w:rPr>
                <w:rStyle w:val="TimesNewRomanTimesNewRoman"/>
                <w:rtl w:val="true"/>
              </w:rPr>
              <w:t xml:space="preserve"> </w:t>
            </w:r>
          </w:p>
        </w:tc>
      </w:tr>
      <w:tr>
        <w:trPr/>
        <w:tc>
          <w:tcPr>
            <w:tcW w:w="2880" w:type="dxa"/>
            <w:gridSpan w:val="2"/>
            <w:tcBorders/>
            <w:tcMar>
              <w:start w:w="108" w:type="dxa"/>
              <w:end w:w="108" w:type="dxa"/>
            </w:tcMar>
          </w:tcPr>
          <w:p>
            <w:pPr>
              <w:pStyle w:val="Normal"/>
              <w:ind w:start="26" w:end="0"/>
              <w:jc w:val="start"/>
              <w:rPr/>
            </w:pPr>
            <w:bookmarkStart w:id="2" w:name="FirstAppellant"/>
            <w:bookmarkEnd w:id="2"/>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מדינת ישראל</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pPr>
            <w:r>
              <w:rPr>
                <w:b/>
                <w:b/>
                <w:bCs/>
                <w:sz w:val="26"/>
                <w:sz w:val="26"/>
                <w:szCs w:val="26"/>
                <w:rtl w:val="true"/>
              </w:rPr>
              <w:t>ה</w:t>
            </w:r>
            <w:r>
              <w:rPr>
                <w:b/>
                <w:b/>
                <w:bCs/>
                <w:sz w:val="26"/>
                <w:sz w:val="26"/>
                <w:szCs w:val="26"/>
                <w:rtl w:val="true"/>
              </w:rPr>
              <w:t>נאשם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 xml:space="preserve">איהאב זיוד </w:t>
            </w:r>
            <w:r>
              <w:rPr>
                <w:b/>
                <w:bCs/>
                <w:sz w:val="26"/>
                <w:szCs w:val="26"/>
                <w:rtl w:val="true"/>
              </w:rPr>
              <w:t>(</w:t>
            </w:r>
            <w:r>
              <w:rPr>
                <w:b/>
                <w:b/>
                <w:bCs/>
                <w:sz w:val="26"/>
                <w:sz w:val="26"/>
                <w:szCs w:val="26"/>
                <w:rtl w:val="true"/>
              </w:rPr>
              <w:t>עציר</w:t>
            </w:r>
            <w:r>
              <w:rPr>
                <w:b/>
                <w:bCs/>
                <w:sz w:val="26"/>
                <w:szCs w:val="26"/>
                <w:rtl w:val="true"/>
              </w:rPr>
              <w:t>)</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r>
        <w:rPr>
          <w:u w:val="none"/>
          <w:rtl w:val="true"/>
        </w:rPr>
        <w:t>מטעם המאשימה</w:t>
      </w:r>
      <w:r>
        <w:rPr>
          <w:u w:val="none"/>
          <w:rtl w:val="true"/>
        </w:rPr>
        <w:t xml:space="preserve">: </w:t>
      </w:r>
      <w:r>
        <w:rPr>
          <w:u w:val="none"/>
          <w:rtl w:val="true"/>
        </w:rPr>
        <w:t>עו</w:t>
      </w:r>
      <w:r>
        <w:rPr>
          <w:u w:val="none"/>
          <w:rtl w:val="true"/>
        </w:rPr>
        <w:t>"</w:t>
      </w:r>
      <w:r>
        <w:rPr>
          <w:u w:val="none"/>
          <w:rtl w:val="true"/>
        </w:rPr>
        <w:t>ד הדס ירושלמי</w:t>
      </w:r>
    </w:p>
    <w:p>
      <w:pPr>
        <w:pStyle w:val="12"/>
        <w:ind w:end="0"/>
        <w:jc w:val="start"/>
        <w:rPr>
          <w:u w:val="none"/>
        </w:rPr>
      </w:pPr>
      <w:r>
        <w:rPr>
          <w:u w:val="none"/>
          <w:rtl w:val="true"/>
        </w:rPr>
        <w:t>מטעם הנאשם</w:t>
      </w:r>
      <w:r>
        <w:rPr>
          <w:u w:val="none"/>
          <w:rtl w:val="true"/>
        </w:rPr>
        <w:t xml:space="preserve">: </w:t>
      </w:r>
      <w:r>
        <w:rPr>
          <w:u w:val="none"/>
          <w:rtl w:val="true"/>
        </w:rPr>
        <w:t>הובא וע</w:t>
      </w:r>
      <w:r>
        <w:rPr>
          <w:u w:val="none"/>
          <w:rtl w:val="true"/>
        </w:rPr>
        <w:t>"</w:t>
      </w:r>
      <w:r>
        <w:rPr>
          <w:u w:val="none"/>
          <w:rtl w:val="true"/>
        </w:rPr>
        <w:t>י ב</w:t>
      </w:r>
      <w:r>
        <w:rPr>
          <w:u w:val="none"/>
          <w:rtl w:val="true"/>
        </w:rPr>
        <w:t>"</w:t>
      </w:r>
      <w:r>
        <w:rPr>
          <w:u w:val="none"/>
          <w:rtl w:val="true"/>
        </w:rPr>
        <w:t>כ עו</w:t>
      </w:r>
      <w:r>
        <w:rPr>
          <w:u w:val="none"/>
          <w:rtl w:val="true"/>
        </w:rPr>
        <w:t>"</w:t>
      </w:r>
      <w:r>
        <w:rPr>
          <w:u w:val="none"/>
          <w:rtl w:val="true"/>
        </w:rPr>
        <w:t>ד ראפי מסאלחה</w:t>
      </w:r>
    </w:p>
    <w:p>
      <w:pPr>
        <w:pStyle w:val="12"/>
        <w:ind w:end="0"/>
        <w:jc w:val="start"/>
        <w:rPr>
          <w:b w:val="false"/>
          <w:bCs w:val="false"/>
          <w:u w:val="none"/>
        </w:rPr>
      </w:pPr>
      <w:r>
        <w:rPr>
          <w:b w:val="false"/>
          <w:bCs w:val="false"/>
          <w:u w:val="none"/>
          <w:rtl w:val="true"/>
        </w:rPr>
      </w:r>
    </w:p>
    <w:p>
      <w:pPr>
        <w:pStyle w:val="David"/>
        <w:ind w:end="0"/>
        <w:jc w:val="center"/>
        <w:rPr>
          <w:rFonts w:ascii="Arial" w:hAnsi="Arial" w:eastAsia="David" w:cs="Arial"/>
          <w:b/>
          <w:bCs/>
          <w:sz w:val="28"/>
          <w:szCs w:val="28"/>
        </w:rPr>
      </w:pPr>
      <w:r>
        <w:rPr>
          <w:rFonts w:ascii="Arial" w:hAnsi="Arial" w:eastAsia="David" w:cs="Arial"/>
          <w:b/>
          <w:b/>
          <w:color w:val="FF0000"/>
          <w:sz w:val="28"/>
          <w:sz w:val="28"/>
          <w:rtl w:val="true"/>
        </w:rPr>
        <w:t>במסמך זה הושמטו פרוטוקולים</w:t>
      </w:r>
    </w:p>
    <w:p>
      <w:pPr>
        <w:pStyle w:val="David"/>
        <w:ind w:end="0"/>
        <w:jc w:val="center"/>
        <w:rPr>
          <w:rFonts w:ascii="Arial" w:hAnsi="Arial" w:eastAsia="David" w:cs="Arial"/>
          <w:b/>
          <w:bCs/>
          <w:sz w:val="28"/>
          <w:szCs w:val="28"/>
        </w:rPr>
      </w:pPr>
      <w:r>
        <w:rPr>
          <w:rFonts w:eastAsia="David" w:cs="Arial" w:ascii="Arial" w:hAnsi="Arial"/>
          <w:b/>
          <w:bCs/>
          <w:sz w:val="28"/>
          <w:szCs w:val="28"/>
          <w:rtl w:val="true"/>
        </w:rPr>
      </w:r>
    </w:p>
    <w:p>
      <w:pPr>
        <w:pStyle w:val="David"/>
        <w:ind w:end="0"/>
        <w:jc w:val="center"/>
        <w:rPr>
          <w:rFonts w:ascii="Arial" w:hAnsi="Arial" w:eastAsia="David" w:cs="Arial"/>
          <w:b/>
          <w:bCs/>
          <w:sz w:val="28"/>
          <w:szCs w:val="28"/>
          <w:u w:val="single"/>
        </w:rPr>
      </w:pPr>
      <w:bookmarkStart w:id="3" w:name="PsakDin"/>
      <w:bookmarkEnd w:id="3"/>
      <w:r>
        <w:rPr>
          <w:rFonts w:ascii="Arial" w:hAnsi="Arial" w:eastAsia="David" w:cs="Arial"/>
          <w:b/>
          <w:b/>
          <w:bCs/>
          <w:sz w:val="28"/>
          <w:sz w:val="28"/>
          <w:szCs w:val="28"/>
          <w:u w:val="single"/>
          <w:rtl w:val="true"/>
        </w:rPr>
        <w:t>גזר דין</w:t>
      </w:r>
    </w:p>
    <w:p>
      <w:pPr>
        <w:pStyle w:val="David"/>
        <w:ind w:end="0"/>
        <w:jc w:val="both"/>
        <w:rPr>
          <w:rFonts w:ascii="David" w:hAnsi="David" w:eastAsia="David" w:cs="David"/>
          <w:b/>
          <w:bCs/>
          <w:sz w:val="28"/>
          <w:szCs w:val="28"/>
          <w:u w:val="single"/>
        </w:rPr>
      </w:pPr>
      <w:r>
        <w:rPr>
          <w:rFonts w:eastAsia="David" w:cs="David" w:ascii="David" w:hAnsi="David"/>
          <w:b/>
          <w:bCs/>
          <w:sz w:val="28"/>
          <w:szCs w:val="28"/>
          <w:u w:val="single"/>
          <w:rtl w:val="true"/>
        </w:rPr>
      </w:r>
      <w:bookmarkStart w:id="4" w:name="PsakDin"/>
      <w:bookmarkStart w:id="5" w:name="PsakDin"/>
      <w:bookmarkEnd w:id="5"/>
    </w:p>
    <w:p>
      <w:pPr>
        <w:pStyle w:val="David"/>
        <w:ind w:end="0"/>
        <w:jc w:val="both"/>
        <w:rPr>
          <w:rFonts w:ascii="David" w:hAnsi="David" w:cs="David"/>
        </w:rPr>
      </w:pPr>
      <w:r>
        <w:rPr>
          <w:rFonts w:ascii="David" w:hAnsi="David" w:cs="David"/>
          <w:rtl w:val="true"/>
        </w:rPr>
        <w:t>הנאשם הורשע על פי הודאתו בעקבות הסדר טיעון בכתב אישום מתוקן בעבירות של</w:t>
      </w:r>
      <w:r>
        <w:rPr>
          <w:rFonts w:cs="David" w:ascii="David" w:hAnsi="David"/>
          <w:rtl w:val="true"/>
        </w:rPr>
        <w:t xml:space="preserve">: </w:t>
      </w:r>
    </w:p>
    <w:p>
      <w:pPr>
        <w:pStyle w:val="David"/>
        <w:ind w:end="0"/>
        <w:jc w:val="both"/>
        <w:rPr>
          <w:rFonts w:ascii="David" w:hAnsi="David" w:cs="David"/>
        </w:rPr>
      </w:pPr>
      <w:r>
        <w:rPr>
          <w:rFonts w:ascii="David" w:hAnsi="David" w:cs="David"/>
          <w:rtl w:val="true"/>
        </w:rPr>
        <w:t xml:space="preserve">ייצור נשק </w:t>
      </w:r>
      <w:r>
        <w:rPr>
          <w:rFonts w:ascii="David" w:hAnsi="David" w:cs="David"/>
          <w:rtl w:val="true"/>
        </w:rPr>
        <w:t>–</w:t>
      </w:r>
      <w:r>
        <w:rPr>
          <w:rFonts w:ascii="David" w:hAnsi="David" w:cs="David"/>
          <w:rtl w:val="true"/>
        </w:rPr>
        <w:t xml:space="preserve"> עבירה לפי סעיף </w:t>
      </w:r>
      <w:r>
        <w:rPr>
          <w:rFonts w:cs="David" w:ascii="David" w:hAnsi="David"/>
        </w:rPr>
        <w:t>144</w:t>
      </w:r>
      <w:r>
        <w:rPr>
          <w:rFonts w:cs="David" w:ascii="David" w:hAnsi="David"/>
          <w:rtl w:val="true"/>
        </w:rPr>
        <w:t xml:space="preserve"> (</w:t>
      </w:r>
      <w:r>
        <w:rPr>
          <w:rFonts w:ascii="David" w:hAnsi="David" w:cs="David"/>
          <w:rtl w:val="true"/>
        </w:rPr>
        <w:t>ב</w:t>
      </w:r>
      <w:r>
        <w:rPr>
          <w:rFonts w:cs="David" w:ascii="David" w:hAnsi="David"/>
        </w:rPr>
        <w:t>2</w:t>
      </w:r>
      <w:r>
        <w:rPr>
          <w:rFonts w:cs="David" w:ascii="David" w:hAnsi="David"/>
          <w:rtl w:val="true"/>
        </w:rPr>
        <w:t xml:space="preserve">) </w:t>
      </w:r>
      <w:r>
        <w:rPr>
          <w:rFonts w:ascii="David" w:hAnsi="David" w:cs="David"/>
          <w:rtl w:val="true"/>
        </w:rPr>
        <w:t>ל</w:t>
      </w:r>
      <w:hyperlink r:id="rId2">
        <w:r>
          <w:rPr>
            <w:rStyle w:val="Hyperlink"/>
            <w:rFonts w:ascii="David" w:hAnsi="David" w:cs="David"/>
            <w:color w:val="0000FF"/>
            <w:u w:val="single"/>
            <w:rtl w:val="true"/>
          </w:rPr>
          <w:t>חוק העונשין</w:t>
        </w:r>
      </w:hyperlink>
      <w:r>
        <w:rPr>
          <w:rFonts w:cs="David" w:ascii="David" w:hAnsi="David"/>
          <w:rtl w:val="true"/>
        </w:rPr>
        <w:t xml:space="preserve">, </w:t>
      </w:r>
      <w:r>
        <w:rPr>
          <w:rFonts w:ascii="David" w:hAnsi="David" w:cs="David"/>
          <w:rtl w:val="true"/>
        </w:rPr>
        <w:t>התשל</w:t>
      </w:r>
      <w:r>
        <w:rPr>
          <w:rFonts w:cs="David" w:ascii="David" w:hAnsi="David"/>
          <w:rtl w:val="true"/>
        </w:rPr>
        <w:t>"</w:t>
      </w:r>
      <w:r>
        <w:rPr>
          <w:rFonts w:ascii="David" w:hAnsi="David" w:cs="David"/>
          <w:rtl w:val="true"/>
        </w:rPr>
        <w:t>ז</w:t>
      </w:r>
      <w:r>
        <w:rPr>
          <w:rFonts w:cs="David" w:ascii="David" w:hAnsi="David"/>
          <w:rtl w:val="true"/>
        </w:rPr>
        <w:t xml:space="preserve">- </w:t>
      </w:r>
      <w:r>
        <w:rPr>
          <w:rFonts w:cs="David" w:ascii="David" w:hAnsi="David"/>
        </w:rPr>
        <w:t>1977</w:t>
      </w:r>
      <w:r>
        <w:rPr>
          <w:rFonts w:cs="David" w:ascii="David" w:hAnsi="David"/>
          <w:rtl w:val="true"/>
        </w:rPr>
        <w:t xml:space="preserve"> (</w:t>
      </w:r>
      <w:r>
        <w:rPr>
          <w:rFonts w:ascii="David" w:hAnsi="David" w:cs="David"/>
          <w:rtl w:val="true"/>
        </w:rPr>
        <w:t>להלן</w:t>
      </w:r>
      <w:r>
        <w:rPr>
          <w:rFonts w:cs="David" w:ascii="David" w:hAnsi="David"/>
          <w:rtl w:val="true"/>
        </w:rPr>
        <w:t>: "</w:t>
      </w:r>
      <w:r>
        <w:rPr>
          <w:rFonts w:ascii="David" w:hAnsi="David" w:cs="David"/>
          <w:rtl w:val="true"/>
        </w:rPr>
        <w:t>חוק העונשין</w:t>
      </w:r>
      <w:r>
        <w:rPr>
          <w:rFonts w:cs="David" w:ascii="David" w:hAnsi="David"/>
          <w:rtl w:val="true"/>
        </w:rPr>
        <w:t xml:space="preserve">"). </w:t>
      </w:r>
    </w:p>
    <w:p>
      <w:pPr>
        <w:pStyle w:val="David"/>
        <w:ind w:end="0"/>
        <w:jc w:val="both"/>
        <w:rPr>
          <w:rFonts w:ascii="David" w:hAnsi="David" w:cs="David"/>
        </w:rPr>
      </w:pPr>
      <w:r>
        <w:rPr>
          <w:rFonts w:ascii="David" w:hAnsi="David" w:cs="David"/>
          <w:rtl w:val="true"/>
        </w:rPr>
        <w:t xml:space="preserve">נשיאת נשק </w:t>
      </w:r>
      <w:r>
        <w:rPr>
          <w:rFonts w:ascii="David" w:hAnsi="David" w:cs="David"/>
          <w:rtl w:val="true"/>
        </w:rPr>
        <w:t>–</w:t>
      </w:r>
      <w:r>
        <w:rPr>
          <w:rFonts w:ascii="David" w:hAnsi="David" w:cs="David"/>
          <w:rtl w:val="true"/>
        </w:rPr>
        <w:t xml:space="preserve"> עבירה לפי סעיף </w:t>
      </w:r>
      <w:r>
        <w:rPr>
          <w:rFonts w:cs="David" w:ascii="David" w:hAnsi="David"/>
        </w:rPr>
        <w:t>144</w:t>
      </w:r>
      <w:r>
        <w:rPr>
          <w:rFonts w:cs="David" w:ascii="David" w:hAnsi="David"/>
          <w:rtl w:val="true"/>
        </w:rPr>
        <w:t xml:space="preserve"> (</w:t>
      </w:r>
      <w:r>
        <w:rPr>
          <w:rFonts w:ascii="David" w:hAnsi="David" w:cs="David"/>
          <w:rtl w:val="true"/>
        </w:rPr>
        <w:t>ב</w:t>
      </w:r>
      <w:r>
        <w:rPr>
          <w:rFonts w:cs="David" w:ascii="David" w:hAnsi="David"/>
          <w:rtl w:val="true"/>
        </w:rPr>
        <w:t xml:space="preserve">) </w:t>
      </w:r>
      <w:r>
        <w:rPr>
          <w:rFonts w:ascii="David" w:hAnsi="David" w:cs="David"/>
          <w:rtl w:val="true"/>
        </w:rPr>
        <w:t>ל</w:t>
      </w:r>
      <w:hyperlink r:id="rId3">
        <w:r>
          <w:rPr>
            <w:rStyle w:val="Hyperlink"/>
            <w:rFonts w:ascii="David" w:hAnsi="David" w:cs="David"/>
            <w:color w:val="0000FF"/>
            <w:u w:val="single"/>
            <w:rtl w:val="true"/>
          </w:rPr>
          <w:t>חוק העונשין</w:t>
        </w:r>
      </w:hyperlink>
      <w:r>
        <w:rPr>
          <w:rFonts w:cs="David" w:ascii="David" w:hAnsi="David"/>
          <w:rtl w:val="true"/>
        </w:rPr>
        <w:t xml:space="preserve">. </w:t>
      </w:r>
    </w:p>
    <w:p>
      <w:pPr>
        <w:pStyle w:val="David"/>
        <w:ind w:end="0"/>
        <w:jc w:val="both"/>
        <w:rPr>
          <w:rFonts w:ascii="David" w:hAnsi="David" w:cs="David"/>
        </w:rPr>
      </w:pPr>
      <w:r>
        <w:rPr>
          <w:rFonts w:ascii="David" w:hAnsi="David" w:cs="David"/>
          <w:rtl w:val="true"/>
        </w:rPr>
        <w:t xml:space="preserve">החזקת נשק </w:t>
      </w:r>
      <w:r>
        <w:rPr>
          <w:rFonts w:ascii="David" w:hAnsi="David" w:cs="David"/>
          <w:rtl w:val="true"/>
        </w:rPr>
        <w:t>–</w:t>
      </w:r>
      <w:r>
        <w:rPr>
          <w:rFonts w:ascii="David" w:hAnsi="David" w:cs="David"/>
          <w:rtl w:val="true"/>
        </w:rPr>
        <w:t xml:space="preserve"> עבירה לפי סעיף </w:t>
      </w:r>
      <w:r>
        <w:rPr>
          <w:rFonts w:cs="David" w:ascii="David" w:hAnsi="David"/>
        </w:rPr>
        <w:t>144</w:t>
      </w:r>
      <w:r>
        <w:rPr>
          <w:rFonts w:cs="David" w:ascii="David" w:hAnsi="David"/>
          <w:rtl w:val="true"/>
        </w:rPr>
        <w:t xml:space="preserve"> (</w:t>
      </w:r>
      <w:r>
        <w:rPr>
          <w:rFonts w:ascii="David" w:hAnsi="David" w:cs="David"/>
          <w:rtl w:val="true"/>
        </w:rPr>
        <w:t>א</w:t>
      </w:r>
      <w:r>
        <w:rPr>
          <w:rFonts w:cs="David" w:ascii="David" w:hAnsi="David"/>
          <w:rtl w:val="true"/>
        </w:rPr>
        <w:t xml:space="preserve">) </w:t>
      </w:r>
      <w:r>
        <w:rPr>
          <w:rFonts w:ascii="David" w:hAnsi="David" w:cs="David"/>
          <w:rtl w:val="true"/>
        </w:rPr>
        <w:t xml:space="preserve">רישא </w:t>
      </w:r>
      <w:r>
        <w:rPr>
          <w:rFonts w:cs="David" w:ascii="David" w:hAnsi="David"/>
          <w:rtl w:val="true"/>
        </w:rPr>
        <w:t xml:space="preserve">+ </w:t>
      </w:r>
      <w:r>
        <w:rPr>
          <w:rFonts w:ascii="David" w:hAnsi="David" w:cs="David"/>
          <w:rtl w:val="true"/>
        </w:rPr>
        <w:t>סיפא ל</w:t>
      </w:r>
      <w:hyperlink r:id="rId4">
        <w:r>
          <w:rPr>
            <w:rStyle w:val="Hyperlink"/>
            <w:rFonts w:ascii="David" w:hAnsi="David" w:cs="David"/>
            <w:color w:val="0000FF"/>
            <w:u w:val="single"/>
            <w:rtl w:val="true"/>
          </w:rPr>
          <w:t>חוק העונשין</w:t>
        </w:r>
      </w:hyperlink>
      <w:r>
        <w:rPr>
          <w:rFonts w:cs="David" w:ascii="David" w:hAnsi="David"/>
          <w:rtl w:val="true"/>
        </w:rPr>
        <w:t xml:space="preserve">. </w:t>
      </w:r>
    </w:p>
    <w:p>
      <w:pPr>
        <w:pStyle w:val="David"/>
        <w:ind w:end="0"/>
        <w:jc w:val="both"/>
        <w:rPr>
          <w:rFonts w:ascii="David" w:hAnsi="David" w:cs="David"/>
        </w:rPr>
      </w:pPr>
      <w:r>
        <w:rPr>
          <w:rFonts w:ascii="David" w:hAnsi="David" w:cs="David"/>
          <w:rtl w:val="true"/>
        </w:rPr>
        <w:t xml:space="preserve">עוד הורשע הנאשם באישום השני נשוא כתב האישום בעבירה של החזקת נשק </w:t>
      </w:r>
      <w:r>
        <w:rPr>
          <w:rFonts w:cs="David" w:ascii="David" w:hAnsi="David"/>
          <w:rtl w:val="true"/>
        </w:rPr>
        <w:t>(</w:t>
      </w:r>
      <w:r>
        <w:rPr>
          <w:rFonts w:ascii="David" w:hAnsi="David" w:cs="David"/>
          <w:rtl w:val="true"/>
        </w:rPr>
        <w:t>החזקה ורכישה</w:t>
      </w:r>
      <w:r>
        <w:rPr>
          <w:rFonts w:cs="David" w:ascii="David" w:hAnsi="David"/>
          <w:rtl w:val="true"/>
        </w:rPr>
        <w:t xml:space="preserve">) </w:t>
      </w:r>
      <w:r>
        <w:rPr>
          <w:rFonts w:cs="David" w:ascii="David" w:hAnsi="David"/>
          <w:rtl w:val="true"/>
        </w:rPr>
        <w:t>–</w:t>
      </w:r>
      <w:r>
        <w:rPr>
          <w:rFonts w:cs="David" w:ascii="David" w:hAnsi="David"/>
          <w:rtl w:val="true"/>
        </w:rPr>
        <w:t xml:space="preserve"> </w:t>
      </w:r>
      <w:r>
        <w:rPr>
          <w:rFonts w:ascii="David" w:hAnsi="David" w:cs="David"/>
          <w:rtl w:val="true"/>
        </w:rPr>
        <w:t xml:space="preserve">עבירה לפי סעיף </w:t>
      </w:r>
      <w:r>
        <w:rPr>
          <w:rFonts w:cs="David" w:ascii="David" w:hAnsi="David"/>
        </w:rPr>
        <w:t>144</w:t>
      </w:r>
      <w:r>
        <w:rPr>
          <w:rFonts w:cs="David" w:ascii="David" w:hAnsi="David"/>
          <w:rtl w:val="true"/>
        </w:rPr>
        <w:t xml:space="preserve"> (</w:t>
      </w:r>
      <w:r>
        <w:rPr>
          <w:rFonts w:ascii="David" w:hAnsi="David" w:cs="David"/>
          <w:rtl w:val="true"/>
        </w:rPr>
        <w:t>א</w:t>
      </w:r>
      <w:r>
        <w:rPr>
          <w:rFonts w:cs="David" w:ascii="David" w:hAnsi="David"/>
          <w:rtl w:val="true"/>
        </w:rPr>
        <w:t xml:space="preserve">) </w:t>
      </w:r>
      <w:r>
        <w:rPr>
          <w:rFonts w:ascii="David" w:hAnsi="David" w:cs="David"/>
          <w:rtl w:val="true"/>
        </w:rPr>
        <w:t xml:space="preserve">רישא </w:t>
      </w:r>
      <w:r>
        <w:rPr>
          <w:rFonts w:cs="David" w:ascii="David" w:hAnsi="David"/>
          <w:rtl w:val="true"/>
        </w:rPr>
        <w:t xml:space="preserve">+ </w:t>
      </w:r>
      <w:r>
        <w:rPr>
          <w:rFonts w:ascii="David" w:hAnsi="David" w:cs="David"/>
          <w:rtl w:val="true"/>
        </w:rPr>
        <w:t>סיפא ל</w:t>
      </w:r>
      <w:hyperlink r:id="rId5">
        <w:r>
          <w:rPr>
            <w:rStyle w:val="Hyperlink"/>
            <w:rFonts w:ascii="David" w:hAnsi="David" w:cs="David"/>
            <w:color w:val="0000FF"/>
            <w:u w:val="single"/>
            <w:rtl w:val="true"/>
          </w:rPr>
          <w:t>חוק העונשין</w:t>
        </w:r>
      </w:hyperlink>
      <w:r>
        <w:rPr>
          <w:rFonts w:cs="David" w:ascii="David" w:hAnsi="David"/>
          <w:rtl w:val="true"/>
        </w:rPr>
        <w:t xml:space="preserve">. </w:t>
      </w:r>
    </w:p>
    <w:p>
      <w:pPr>
        <w:pStyle w:val="David"/>
        <w:ind w:end="0"/>
        <w:jc w:val="both"/>
        <w:rPr>
          <w:rFonts w:ascii="David" w:hAnsi="David" w:cs="David"/>
        </w:rPr>
      </w:pPr>
      <w:r>
        <w:rPr>
          <w:rFonts w:ascii="David" w:hAnsi="David" w:cs="David"/>
          <w:rtl w:val="true"/>
        </w:rPr>
        <w:t>בתמצית וכעולה מעובדות כתב האישום</w:t>
      </w:r>
      <w:r>
        <w:rPr>
          <w:rFonts w:cs="David" w:ascii="David" w:hAnsi="David"/>
          <w:rtl w:val="true"/>
        </w:rPr>
        <w:t xml:space="preserve">, </w:t>
      </w:r>
      <w:r>
        <w:rPr>
          <w:rFonts w:ascii="David" w:hAnsi="David" w:cs="David"/>
          <w:rtl w:val="true"/>
        </w:rPr>
        <w:t xml:space="preserve">במהלך שנת </w:t>
      </w:r>
      <w:r>
        <w:rPr>
          <w:rFonts w:cs="David" w:ascii="David" w:hAnsi="David"/>
        </w:rPr>
        <w:t>2011</w:t>
      </w:r>
      <w:r>
        <w:rPr>
          <w:rFonts w:cs="David" w:ascii="David" w:hAnsi="David"/>
          <w:rtl w:val="true"/>
        </w:rPr>
        <w:t xml:space="preserve">, </w:t>
      </w:r>
      <w:r>
        <w:rPr>
          <w:rFonts w:ascii="David" w:hAnsi="David" w:cs="David"/>
          <w:rtl w:val="true"/>
        </w:rPr>
        <w:t>ייצר הנאשם בביתו שבנצרת שני כלי נשק דמויי רובה קלצ</w:t>
      </w:r>
      <w:r>
        <w:rPr>
          <w:rFonts w:cs="David" w:ascii="David" w:hAnsi="David"/>
          <w:rtl w:val="true"/>
        </w:rPr>
        <w:t>'</w:t>
      </w:r>
      <w:r>
        <w:rPr>
          <w:rFonts w:ascii="David" w:hAnsi="David" w:cs="David"/>
          <w:rtl w:val="true"/>
        </w:rPr>
        <w:t xml:space="preserve">ניקוב והחזיקם בביתו </w:t>
      </w:r>
      <w:r>
        <w:rPr>
          <w:rFonts w:cs="David" w:ascii="David" w:hAnsi="David"/>
          <w:rtl w:val="true"/>
        </w:rPr>
        <w:t>(</w:t>
      </w:r>
      <w:r>
        <w:rPr>
          <w:rFonts w:ascii="David" w:hAnsi="David" w:cs="David"/>
          <w:rtl w:val="true"/>
        </w:rPr>
        <w:t>להלן</w:t>
      </w:r>
      <w:r>
        <w:rPr>
          <w:rFonts w:cs="David" w:ascii="David" w:hAnsi="David"/>
          <w:rtl w:val="true"/>
        </w:rPr>
        <w:t>: "</w:t>
      </w:r>
      <w:r>
        <w:rPr>
          <w:rFonts w:ascii="David" w:hAnsi="David" w:cs="David"/>
          <w:rtl w:val="true"/>
        </w:rPr>
        <w:t>כלי הנשק</w:t>
      </w:r>
      <w:r>
        <w:rPr>
          <w:rFonts w:cs="David" w:ascii="David" w:hAnsi="David"/>
          <w:rtl w:val="true"/>
        </w:rPr>
        <w:t xml:space="preserve">"). </w:t>
      </w:r>
    </w:p>
    <w:p>
      <w:pPr>
        <w:pStyle w:val="David"/>
        <w:ind w:end="0"/>
        <w:jc w:val="both"/>
        <w:rPr/>
      </w:pPr>
      <w:r>
        <w:rPr>
          <w:rFonts w:ascii="David" w:hAnsi="David" w:cs="David"/>
          <w:rtl w:val="true"/>
        </w:rPr>
        <w:t xml:space="preserve">בנוסף החזיק הנאשם בביתו מחסנית של רובה מסוג </w:t>
      </w:r>
      <w:r>
        <w:rPr>
          <w:rFonts w:cs="David" w:ascii="David" w:hAnsi="David"/>
        </w:rPr>
        <w:t>M</w:t>
      </w:r>
      <w:r>
        <w:rPr/>
        <w:t>16</w:t>
      </w:r>
      <w:r>
        <w:rPr>
          <w:rtl w:val="true"/>
        </w:rPr>
        <w:t xml:space="preserve"> </w:t>
      </w:r>
      <w:r>
        <w:rPr>
          <w:rtl w:val="true"/>
        </w:rPr>
        <w:t>ובה מספר כדורים</w:t>
      </w:r>
      <w:r>
        <w:rPr>
          <w:rtl w:val="true"/>
        </w:rPr>
        <w:t xml:space="preserve">, </w:t>
      </w:r>
      <w:r>
        <w:rPr>
          <w:rtl w:val="true"/>
        </w:rPr>
        <w:t>מחסנית של אקדח ואך בה מספר כדורים וכן חלקי מתכת שונים אשר שימשו אותו לייצור כלי הנשק</w:t>
      </w:r>
      <w:r>
        <w:rPr>
          <w:rtl w:val="true"/>
        </w:rPr>
        <w:t xml:space="preserve">. </w:t>
      </w:r>
      <w:r>
        <w:rPr>
          <w:rtl w:val="true"/>
        </w:rPr>
        <w:t>לאחר שייצר הנאשם כלי הנשק הנ</w:t>
      </w:r>
      <w:r>
        <w:rPr>
          <w:rtl w:val="true"/>
        </w:rPr>
        <w:t>"</w:t>
      </w:r>
      <w:r>
        <w:rPr>
          <w:rtl w:val="true"/>
        </w:rPr>
        <w:t>ל</w:t>
      </w:r>
      <w:r>
        <w:rPr>
          <w:rtl w:val="true"/>
        </w:rPr>
        <w:t xml:space="preserve">, </w:t>
      </w:r>
      <w:r>
        <w:rPr>
          <w:rtl w:val="true"/>
        </w:rPr>
        <w:t>נסע הנאשם ליער הסמוך לכפר החורש כשהוא נושא עימו הנשק שייצר ותחמושת מתאימה</w:t>
      </w:r>
      <w:r>
        <w:rPr>
          <w:rtl w:val="true"/>
        </w:rPr>
        <w:t xml:space="preserve">, </w:t>
      </w:r>
      <w:r>
        <w:rPr>
          <w:rtl w:val="true"/>
        </w:rPr>
        <w:t xml:space="preserve">הנאשם דרך את הנשק וירה </w:t>
      </w:r>
      <w:r>
        <w:rPr/>
        <w:t>7</w:t>
      </w:r>
      <w:r>
        <w:rPr>
          <w:rtl w:val="true"/>
        </w:rPr>
        <w:t xml:space="preserve"> </w:t>
      </w:r>
      <w:r>
        <w:rPr>
          <w:rtl w:val="true"/>
        </w:rPr>
        <w:t>כדורים באוויר</w:t>
      </w:r>
      <w:r>
        <w:rPr>
          <w:rtl w:val="true"/>
        </w:rPr>
        <w:t>.</w:t>
      </w:r>
    </w:p>
    <w:p>
      <w:pPr>
        <w:pStyle w:val="David"/>
        <w:ind w:end="0"/>
        <w:jc w:val="both"/>
        <w:rPr/>
      </w:pPr>
      <w:r>
        <w:rPr>
          <w:rtl w:val="true"/>
        </w:rPr>
        <w:t>על פי עובדות האישום השני יצר הנאשם קשר עם תושב שפרעם וביקש לקנות ממנו אמצעי לחימה שונים</w:t>
      </w:r>
      <w:r>
        <w:rPr>
          <w:rtl w:val="true"/>
        </w:rPr>
        <w:t xml:space="preserve">. </w:t>
      </w:r>
      <w:r>
        <w:rPr>
          <w:rtl w:val="true"/>
        </w:rPr>
        <w:t>הנאשם רכש מאותו תושב כפר שפרעם רובה צייד</w:t>
      </w:r>
      <w:r>
        <w:rPr>
          <w:rtl w:val="true"/>
        </w:rPr>
        <w:t xml:space="preserve">, </w:t>
      </w:r>
      <w:r>
        <w:rPr>
          <w:rtl w:val="true"/>
        </w:rPr>
        <w:t>חמישה כדורים לרובה צייד</w:t>
      </w:r>
      <w:r>
        <w:rPr>
          <w:rtl w:val="true"/>
        </w:rPr>
        <w:t xml:space="preserve">, </w:t>
      </w:r>
      <w:r>
        <w:rPr>
          <w:rtl w:val="true"/>
        </w:rPr>
        <w:t>מחסנית ל</w:t>
      </w:r>
      <w:r>
        <w:rPr>
          <w:rtl w:val="true"/>
        </w:rPr>
        <w:t xml:space="preserve">- </w:t>
      </w:r>
      <w:r>
        <w:rPr/>
        <w:t>M</w:t>
      </w:r>
      <w:r>
        <w:rPr/>
        <w:t>16</w:t>
      </w:r>
      <w:r>
        <w:rPr>
          <w:rtl w:val="true"/>
        </w:rPr>
        <w:t xml:space="preserve">, </w:t>
      </w:r>
      <w:r>
        <w:rPr>
          <w:rtl w:val="true"/>
        </w:rPr>
        <w:t>מחסנית לאקדח</w:t>
      </w:r>
      <w:r>
        <w:rPr>
          <w:rtl w:val="true"/>
        </w:rPr>
        <w:t xml:space="preserve">, </w:t>
      </w:r>
      <w:r>
        <w:rPr/>
        <w:t>100</w:t>
      </w:r>
      <w:r>
        <w:rPr>
          <w:rtl w:val="true"/>
        </w:rPr>
        <w:t xml:space="preserve"> </w:t>
      </w:r>
      <w:r>
        <w:rPr>
          <w:rtl w:val="true"/>
        </w:rPr>
        <w:t xml:space="preserve">כדורים לרובה </w:t>
      </w:r>
      <w:r>
        <w:rPr/>
        <w:t>M</w:t>
      </w:r>
      <w:r>
        <w:rPr/>
        <w:t>16</w:t>
      </w:r>
      <w:r>
        <w:rPr>
          <w:rtl w:val="true"/>
        </w:rPr>
        <w:t xml:space="preserve"> </w:t>
      </w:r>
      <w:r>
        <w:rPr>
          <w:rtl w:val="true"/>
        </w:rPr>
        <w:t>וכדורי אקדח</w:t>
      </w:r>
      <w:r>
        <w:rPr>
          <w:rtl w:val="true"/>
        </w:rPr>
        <w:t xml:space="preserve">. </w:t>
      </w:r>
      <w:r>
        <w:rPr>
          <w:rtl w:val="true"/>
        </w:rPr>
        <w:t>הנאשם החזיק את מרבית כלי הנשק והמחסניות והכדורים כמפורט לעיל במחסן בתחום ביתו והכל ללא רשות על פי דין להחזקתו</w:t>
      </w:r>
      <w:r>
        <w:rPr>
          <w:rtl w:val="true"/>
        </w:rPr>
        <w:t xml:space="preserve">. </w:t>
      </w:r>
    </w:p>
    <w:p>
      <w:pPr>
        <w:pStyle w:val="David"/>
        <w:ind w:end="0"/>
        <w:jc w:val="both"/>
        <w:rPr/>
      </w:pPr>
      <w:r>
        <w:rPr>
          <w:rtl w:val="true"/>
        </w:rPr>
        <w:t>כאמור לעיל הצדדים הגיעו להסדר טיעון לפיו הנאשם יחזור מכפירתו המקורית</w:t>
      </w:r>
      <w:r>
        <w:rPr>
          <w:rtl w:val="true"/>
        </w:rPr>
        <w:t xml:space="preserve">, </w:t>
      </w:r>
      <w:r>
        <w:rPr>
          <w:rtl w:val="true"/>
        </w:rPr>
        <w:t xml:space="preserve">יוגש כתב אישום מתוקן שאת עובדותיו הבאתי לעיל ויוטלו על הנאשם </w:t>
      </w:r>
      <w:r>
        <w:rPr/>
        <w:t>24</w:t>
      </w:r>
      <w:r>
        <w:rPr>
          <w:rtl w:val="true"/>
        </w:rPr>
        <w:t xml:space="preserve"> </w:t>
      </w:r>
      <w:r>
        <w:rPr>
          <w:rtl w:val="true"/>
        </w:rPr>
        <w:t>חודשי מאסר בפועל בצירוף עונשים נלווים לשיקול דעת ביהמ</w:t>
      </w:r>
      <w:r>
        <w:rPr>
          <w:rtl w:val="true"/>
        </w:rPr>
        <w:t>"</w:t>
      </w:r>
      <w:r>
        <w:rPr>
          <w:rtl w:val="true"/>
        </w:rPr>
        <w:t>ש</w:t>
      </w:r>
      <w:r>
        <w:rPr>
          <w:rtl w:val="true"/>
        </w:rPr>
        <w:t xml:space="preserve">, </w:t>
      </w:r>
      <w:r>
        <w:rPr>
          <w:rtl w:val="true"/>
        </w:rPr>
        <w:t>כאשר בעניין הקנס טענו כבר אז הצדדים כי המדינה תעתור לקנס ואילו הסנגור יטען שבנסיבות המקרה אין להשית על הנאשם קנס כלשהו</w:t>
      </w:r>
      <w:r>
        <w:rPr>
          <w:rtl w:val="true"/>
        </w:rPr>
        <w:t xml:space="preserve">. </w:t>
      </w:r>
    </w:p>
    <w:p>
      <w:pPr>
        <w:pStyle w:val="David"/>
        <w:ind w:end="0"/>
        <w:jc w:val="both"/>
        <w:rPr/>
      </w:pPr>
      <w:r>
        <w:rPr>
          <w:rtl w:val="true"/>
        </w:rPr>
        <w:t>נוכח גילו הצעיר של הנאשם בעת ביצוע העבירות</w:t>
      </w:r>
      <w:r>
        <w:rPr>
          <w:rtl w:val="true"/>
        </w:rPr>
        <w:t xml:space="preserve">, </w:t>
      </w:r>
      <w:r>
        <w:rPr>
          <w:rtl w:val="true"/>
        </w:rPr>
        <w:t>הופנה זה לקבלת תסקיר שירות המבחן</w:t>
      </w:r>
      <w:r>
        <w:rPr>
          <w:rtl w:val="true"/>
        </w:rPr>
        <w:t xml:space="preserve">. </w:t>
      </w:r>
      <w:r>
        <w:rPr>
          <w:rtl w:val="true"/>
        </w:rPr>
        <w:t>בתסקיר נסקרו נסיבות חייו של הנאשם</w:t>
      </w:r>
      <w:r>
        <w:rPr>
          <w:rtl w:val="true"/>
        </w:rPr>
        <w:t xml:space="preserve">. </w:t>
      </w:r>
      <w:r>
        <w:rPr>
          <w:rtl w:val="true"/>
        </w:rPr>
        <w:t>עוד הוזכר בתסקיר כי מדובר באב חולה מאוד</w:t>
      </w:r>
      <w:r>
        <w:rPr>
          <w:rtl w:val="true"/>
        </w:rPr>
        <w:t xml:space="preserve">, </w:t>
      </w:r>
      <w:r>
        <w:rPr>
          <w:rtl w:val="true"/>
        </w:rPr>
        <w:t>משפחה נורמטיבית דרך כלל וכן כי הנאשם הביע צער</w:t>
      </w:r>
      <w:r>
        <w:rPr>
          <w:rtl w:val="true"/>
        </w:rPr>
        <w:t xml:space="preserve">, </w:t>
      </w:r>
      <w:r>
        <w:rPr>
          <w:rtl w:val="true"/>
        </w:rPr>
        <w:t>חרטה וכאב על מעשיו</w:t>
      </w:r>
      <w:r>
        <w:rPr>
          <w:rtl w:val="true"/>
        </w:rPr>
        <w:t xml:space="preserve">. </w:t>
      </w:r>
    </w:p>
    <w:p>
      <w:pPr>
        <w:pStyle w:val="David"/>
        <w:ind w:end="0"/>
        <w:jc w:val="both"/>
        <w:rPr/>
      </w:pPr>
      <w:r>
        <w:rPr>
          <w:rtl w:val="true"/>
        </w:rPr>
        <w:t>עורך התסקיר המליץ בסופו של דבר על ענישה של מאסר בפועל</w:t>
      </w:r>
      <w:r>
        <w:rPr>
          <w:rtl w:val="true"/>
        </w:rPr>
        <w:t xml:space="preserve">, </w:t>
      </w:r>
      <w:r>
        <w:rPr>
          <w:rtl w:val="true"/>
        </w:rPr>
        <w:t>מאסר על תנאי</w:t>
      </w:r>
      <w:r>
        <w:rPr>
          <w:rtl w:val="true"/>
        </w:rPr>
        <w:t xml:space="preserve">, </w:t>
      </w:r>
      <w:r>
        <w:rPr>
          <w:rtl w:val="true"/>
        </w:rPr>
        <w:t>התחייבות כספית וקנס</w:t>
      </w:r>
      <w:r>
        <w:rPr>
          <w:rtl w:val="true"/>
        </w:rPr>
        <w:t xml:space="preserve">. </w:t>
      </w:r>
    </w:p>
    <w:p>
      <w:pPr>
        <w:pStyle w:val="David"/>
        <w:ind w:end="0"/>
        <w:jc w:val="both"/>
        <w:rPr/>
      </w:pPr>
      <w:r>
        <w:rPr>
          <w:rtl w:val="true"/>
        </w:rPr>
      </w:r>
    </w:p>
    <w:p>
      <w:pPr>
        <w:pStyle w:val="David"/>
        <w:ind w:end="0"/>
        <w:jc w:val="both"/>
        <w:rPr/>
      </w:pPr>
      <w:r>
        <w:rPr>
          <w:rtl w:val="true"/>
        </w:rPr>
        <w:t>ב</w:t>
      </w:r>
      <w:r>
        <w:rPr>
          <w:rtl w:val="true"/>
        </w:rPr>
        <w:t>"</w:t>
      </w:r>
      <w:r>
        <w:rPr>
          <w:rtl w:val="true"/>
        </w:rPr>
        <w:t>כ המאשימה בטיעוניה טענה כי יש לכבד הסדר טיעון כי הינו הולם את האינטרס הציבורי ואת רף הענישה הנוהג ובהתחשב בגילו הצעיר של הנאשם ובכך שהוא נעדר עבר פלילי מכל סוג שהוא</w:t>
      </w:r>
      <w:r>
        <w:rPr>
          <w:rtl w:val="true"/>
        </w:rPr>
        <w:t xml:space="preserve">. </w:t>
      </w:r>
      <w:r>
        <w:rPr>
          <w:rtl w:val="true"/>
        </w:rPr>
        <w:t>עם זאת עתרה ב</w:t>
      </w:r>
      <w:r>
        <w:rPr>
          <w:rtl w:val="true"/>
        </w:rPr>
        <w:t>"</w:t>
      </w:r>
      <w:r>
        <w:rPr>
          <w:rtl w:val="true"/>
        </w:rPr>
        <w:t>כ המאשימה להשתת קנס הולם וזאת כעונש נוסף מעבר לעונש המוסכם של מאסר בפועל וכן להשתת מאסר על תנאי</w:t>
      </w:r>
      <w:r>
        <w:rPr>
          <w:rtl w:val="true"/>
        </w:rPr>
        <w:t xml:space="preserve">. </w:t>
      </w:r>
    </w:p>
    <w:p>
      <w:pPr>
        <w:pStyle w:val="David"/>
        <w:ind w:end="0"/>
        <w:jc w:val="both"/>
        <w:rPr/>
      </w:pPr>
      <w:r>
        <w:rPr>
          <w:rtl w:val="true"/>
        </w:rPr>
        <w:t>ב</w:t>
      </w:r>
      <w:r>
        <w:rPr>
          <w:rtl w:val="true"/>
        </w:rPr>
        <w:t>"</w:t>
      </w:r>
      <w:r>
        <w:rPr>
          <w:rtl w:val="true"/>
        </w:rPr>
        <w:t>כ הנאשם טען אף הוא כי יש לכבד את הסדר הטיעון אלא שנוכח נסיבות חייו הקשות של הנאשם</w:t>
      </w:r>
      <w:r>
        <w:rPr>
          <w:rtl w:val="true"/>
        </w:rPr>
        <w:t xml:space="preserve">, </w:t>
      </w:r>
      <w:r>
        <w:rPr>
          <w:rtl w:val="true"/>
        </w:rPr>
        <w:t>נוכח עובדת היותו של אביו נכה על כיסא גלגלים</w:t>
      </w:r>
      <w:r>
        <w:rPr>
          <w:rtl w:val="true"/>
        </w:rPr>
        <w:t xml:space="preserve">, </w:t>
      </w:r>
      <w:r>
        <w:rPr>
          <w:rtl w:val="true"/>
        </w:rPr>
        <w:t>הרי שכל קנס ולו בסכום נמוך יהווה נטל שאין בו הצדקה בנסיבות העניין</w:t>
      </w:r>
      <w:r>
        <w:rPr>
          <w:rtl w:val="true"/>
        </w:rPr>
        <w:t xml:space="preserve">, </w:t>
      </w:r>
      <w:r>
        <w:rPr>
          <w:rtl w:val="true"/>
        </w:rPr>
        <w:t>מה גם שבסופו של יום הנאשם לא הפיק כל רווח כספי מעבירות אותן ביצע</w:t>
      </w:r>
      <w:r>
        <w:rPr>
          <w:rtl w:val="true"/>
        </w:rPr>
        <w:t xml:space="preserve">. </w:t>
      </w:r>
    </w:p>
    <w:p>
      <w:pPr>
        <w:pStyle w:val="David"/>
        <w:ind w:end="0"/>
        <w:jc w:val="both"/>
        <w:rPr/>
      </w:pPr>
      <w:r>
        <w:rPr>
          <w:rtl w:val="true"/>
        </w:rPr>
      </w:r>
    </w:p>
    <w:p>
      <w:pPr>
        <w:pStyle w:val="David"/>
        <w:ind w:end="0"/>
        <w:jc w:val="both"/>
        <w:rPr/>
      </w:pPr>
      <w:r>
        <w:rPr>
          <w:rtl w:val="true"/>
        </w:rPr>
        <w:t>לאחר ששמעתי את טיעוני הצדדים</w:t>
      </w:r>
      <w:r>
        <w:rPr>
          <w:rtl w:val="true"/>
        </w:rPr>
        <w:t xml:space="preserve">, </w:t>
      </w:r>
      <w:r>
        <w:rPr>
          <w:rtl w:val="true"/>
        </w:rPr>
        <w:t>נחה דעתי כי אכן הסדר הטיעון הוא ראוי ומאוזן</w:t>
      </w:r>
      <w:r>
        <w:rPr>
          <w:rtl w:val="true"/>
        </w:rPr>
        <w:t xml:space="preserve">, </w:t>
      </w:r>
      <w:r>
        <w:rPr>
          <w:rtl w:val="true"/>
        </w:rPr>
        <w:t>תואם את האינטרס הציבורי ומשקף את רף הענישה הנהוג בעבירות כגון דא ובמיוחד שעה שהנאשם קיבל אחריות על מעשיו באופן מיידי</w:t>
      </w:r>
      <w:r>
        <w:rPr>
          <w:rtl w:val="true"/>
        </w:rPr>
        <w:t xml:space="preserve">, </w:t>
      </w:r>
      <w:r>
        <w:rPr>
          <w:rtl w:val="true"/>
        </w:rPr>
        <w:t>הודה והביע חרטה</w:t>
      </w:r>
      <w:r>
        <w:rPr>
          <w:rtl w:val="true"/>
        </w:rPr>
        <w:t xml:space="preserve">. </w:t>
      </w:r>
    </w:p>
    <w:p>
      <w:pPr>
        <w:pStyle w:val="David"/>
        <w:ind w:end="0"/>
        <w:jc w:val="both"/>
        <w:rPr/>
      </w:pPr>
      <w:r>
        <w:rPr>
          <w:rtl w:val="true"/>
        </w:rPr>
        <w:t>עוד אפנה לכך כי מדובר בנאשם צעיר ונעדר עבר פלילי כלשהו</w:t>
      </w:r>
      <w:r>
        <w:rPr>
          <w:rtl w:val="true"/>
        </w:rPr>
        <w:t xml:space="preserve">. </w:t>
      </w:r>
      <w:r>
        <w:rPr>
          <w:rtl w:val="true"/>
        </w:rPr>
        <w:t>באשר למחלוקת שנפלה בין הצדדים לעניין הטלת קנס</w:t>
      </w:r>
      <w:r>
        <w:rPr>
          <w:rtl w:val="true"/>
        </w:rPr>
        <w:t xml:space="preserve">, </w:t>
      </w:r>
      <w:r>
        <w:rPr>
          <w:rtl w:val="true"/>
        </w:rPr>
        <w:t>הרי שאני סבור כי בנסיבות העניין וחרף טיעוניו של הסנגור ובהתחשב בכל רכיבי מצבו המשפחתי המיוחד של המשיב יש להשית עליו קנס אם כי בשיעור נמוך יחסית</w:t>
      </w:r>
      <w:r>
        <w:rPr>
          <w:rtl w:val="true"/>
        </w:rPr>
        <w:t xml:space="preserve">. </w:t>
      </w:r>
    </w:p>
    <w:p>
      <w:pPr>
        <w:pStyle w:val="David"/>
        <w:ind w:end="0"/>
        <w:jc w:val="both"/>
        <w:rPr/>
      </w:pPr>
      <w:r>
        <w:rPr>
          <w:rtl w:val="true"/>
        </w:rPr>
      </w:r>
    </w:p>
    <w:p>
      <w:pPr>
        <w:pStyle w:val="David"/>
        <w:ind w:end="0"/>
        <w:jc w:val="both"/>
        <w:rPr/>
      </w:pPr>
      <w:r>
        <w:rPr>
          <w:rtl w:val="true"/>
        </w:rPr>
        <w:t>סוף דבר איפוא אני גוזר על הנאשם את העונשים הבאים</w:t>
      </w:r>
      <w:r>
        <w:rPr>
          <w:rtl w:val="true"/>
        </w:rPr>
        <w:t xml:space="preserve">: </w:t>
      </w:r>
    </w:p>
    <w:p>
      <w:pPr>
        <w:pStyle w:val="David"/>
        <w:ind w:end="0"/>
        <w:jc w:val="both"/>
        <w:rPr/>
      </w:pPr>
      <w:r>
        <w:rPr>
          <w:rtl w:val="true"/>
        </w:rPr>
      </w:r>
    </w:p>
    <w:p>
      <w:pPr>
        <w:pStyle w:val="David"/>
        <w:ind w:end="0"/>
        <w:jc w:val="both"/>
        <w:rPr/>
      </w:pPr>
      <w:r>
        <w:rPr>
          <w:rtl w:val="true"/>
        </w:rPr>
        <w:t>א</w:t>
      </w:r>
      <w:r>
        <w:rPr>
          <w:rtl w:val="true"/>
        </w:rPr>
        <w:t>.</w:t>
        <w:tab/>
      </w:r>
      <w:r>
        <w:rPr/>
        <w:t>24</w:t>
      </w:r>
      <w:r>
        <w:rPr>
          <w:rtl w:val="true"/>
        </w:rPr>
        <w:t xml:space="preserve"> </w:t>
      </w:r>
      <w:r>
        <w:rPr>
          <w:rtl w:val="true"/>
        </w:rPr>
        <w:t xml:space="preserve">חודשי מאסר בפועל אשר ימנו מיום מעצרו </w:t>
      </w:r>
      <w:r>
        <w:rPr/>
        <w:t>12.07.11</w:t>
      </w:r>
      <w:r>
        <w:rPr>
          <w:rtl w:val="true"/>
        </w:rPr>
        <w:t>.</w:t>
      </w:r>
    </w:p>
    <w:p>
      <w:pPr>
        <w:pStyle w:val="David"/>
        <w:ind w:hanging="720" w:start="720" w:end="0"/>
        <w:jc w:val="both"/>
        <w:rPr/>
      </w:pPr>
      <w:r>
        <w:rPr>
          <w:rtl w:val="true"/>
        </w:rPr>
        <w:t>ב</w:t>
      </w:r>
      <w:r>
        <w:rPr>
          <w:rtl w:val="true"/>
        </w:rPr>
        <w:t>.</w:t>
        <w:tab/>
      </w:r>
      <w:r>
        <w:rPr/>
        <w:t>12</w:t>
      </w:r>
      <w:r>
        <w:rPr>
          <w:rtl w:val="true"/>
        </w:rPr>
        <w:t xml:space="preserve"> </w:t>
      </w:r>
      <w:r>
        <w:rPr>
          <w:rtl w:val="true"/>
        </w:rPr>
        <w:t xml:space="preserve">חודשי מאסר על תנאי והתנאי הוא שהנאשם לא יעבור משך </w:t>
      </w:r>
      <w:r>
        <w:rPr/>
        <w:t>3</w:t>
      </w:r>
      <w:r>
        <w:rPr>
          <w:rtl w:val="true"/>
        </w:rPr>
        <w:t xml:space="preserve"> </w:t>
      </w:r>
      <w:r>
        <w:rPr>
          <w:rtl w:val="true"/>
        </w:rPr>
        <w:t>שנים מיום שחרורו אחת העבירות של ייצור נשק ונשיאת נשק</w:t>
      </w:r>
      <w:r>
        <w:rPr>
          <w:rtl w:val="true"/>
        </w:rPr>
        <w:t xml:space="preserve">. </w:t>
      </w:r>
    </w:p>
    <w:p>
      <w:pPr>
        <w:pStyle w:val="David"/>
        <w:ind w:hanging="720" w:start="720" w:end="0"/>
        <w:jc w:val="both"/>
        <w:rPr/>
      </w:pPr>
      <w:r>
        <w:rPr>
          <w:rtl w:val="true"/>
        </w:rPr>
        <w:t>ג</w:t>
      </w:r>
      <w:r>
        <w:rPr>
          <w:rtl w:val="true"/>
        </w:rPr>
        <w:t>.</w:t>
        <w:tab/>
      </w:r>
      <w:r>
        <w:rPr/>
        <w:t>6</w:t>
      </w:r>
      <w:r>
        <w:rPr>
          <w:rtl w:val="true"/>
        </w:rPr>
        <w:t xml:space="preserve"> </w:t>
      </w:r>
      <w:r>
        <w:rPr>
          <w:rtl w:val="true"/>
        </w:rPr>
        <w:t xml:space="preserve">חודשי מאסר על תנאי והתנאי הוא שהנאשם לא יעבור משך </w:t>
      </w:r>
      <w:r>
        <w:rPr/>
        <w:t>3</w:t>
      </w:r>
      <w:r>
        <w:rPr>
          <w:rtl w:val="true"/>
        </w:rPr>
        <w:t xml:space="preserve"> </w:t>
      </w:r>
      <w:r>
        <w:rPr>
          <w:rtl w:val="true"/>
        </w:rPr>
        <w:t>שנים מיום שחרורו עבירה כלשהי של החזקת נשק</w:t>
      </w:r>
      <w:r>
        <w:rPr>
          <w:rtl w:val="true"/>
        </w:rPr>
        <w:t xml:space="preserve">. </w:t>
      </w:r>
    </w:p>
    <w:p>
      <w:pPr>
        <w:pStyle w:val="David"/>
        <w:ind w:hanging="720" w:start="720" w:end="0"/>
        <w:jc w:val="both"/>
        <w:rPr/>
      </w:pPr>
      <w:r>
        <w:rPr>
          <w:rtl w:val="true"/>
        </w:rPr>
        <w:t>ד</w:t>
      </w:r>
      <w:r>
        <w:rPr>
          <w:rtl w:val="true"/>
        </w:rPr>
        <w:t>.</w:t>
        <w:tab/>
      </w:r>
      <w:r>
        <w:rPr>
          <w:rtl w:val="true"/>
        </w:rPr>
        <w:t xml:space="preserve">קנס בסך </w:t>
      </w:r>
      <w:r>
        <w:rPr/>
        <w:t>2,500</w:t>
      </w:r>
      <w:r>
        <w:rPr>
          <w:rtl w:val="true"/>
        </w:rPr>
        <w:t xml:space="preserve"> ₪ </w:t>
      </w:r>
      <w:r>
        <w:rPr>
          <w:rtl w:val="true"/>
        </w:rPr>
        <w:t xml:space="preserve">או </w:t>
      </w:r>
      <w:r>
        <w:rPr/>
        <w:t>10</w:t>
      </w:r>
      <w:r>
        <w:rPr>
          <w:rtl w:val="true"/>
        </w:rPr>
        <w:t xml:space="preserve"> </w:t>
      </w:r>
      <w:r>
        <w:rPr>
          <w:rtl w:val="true"/>
        </w:rPr>
        <w:t>ימי מאסר תמורתם</w:t>
      </w:r>
      <w:r>
        <w:rPr>
          <w:rtl w:val="true"/>
        </w:rPr>
        <w:t xml:space="preserve">. </w:t>
      </w:r>
      <w:r>
        <w:rPr>
          <w:rtl w:val="true"/>
        </w:rPr>
        <w:t xml:space="preserve">הקנס ישולם תוך </w:t>
      </w:r>
      <w:r>
        <w:rPr/>
        <w:t>30</w:t>
      </w:r>
      <w:r>
        <w:rPr>
          <w:rtl w:val="true"/>
        </w:rPr>
        <w:t xml:space="preserve"> </w:t>
      </w:r>
      <w:r>
        <w:rPr>
          <w:rtl w:val="true"/>
        </w:rPr>
        <w:t>יום מיום שחרורו ממאסר</w:t>
      </w:r>
      <w:r>
        <w:rPr>
          <w:rtl w:val="true"/>
        </w:rPr>
        <w:t xml:space="preserve">. </w:t>
      </w:r>
    </w:p>
    <w:p>
      <w:pPr>
        <w:pStyle w:val="David"/>
        <w:ind w:hanging="720" w:start="720" w:end="0"/>
        <w:jc w:val="both"/>
        <w:rPr/>
      </w:pPr>
      <w:r>
        <w:rPr>
          <w:rtl w:val="true"/>
        </w:rPr>
      </w:r>
    </w:p>
    <w:p>
      <w:pPr>
        <w:pStyle w:val="David"/>
        <w:ind w:hanging="720" w:start="720" w:end="0"/>
        <w:jc w:val="both"/>
        <w:rPr>
          <w:b/>
          <w:bCs/>
          <w:u w:val="single"/>
        </w:rPr>
      </w:pPr>
      <w:r>
        <w:rPr>
          <w:b/>
          <w:b/>
          <w:bCs/>
          <w:u w:val="single"/>
          <w:rtl w:val="true"/>
        </w:rPr>
        <w:t xml:space="preserve">זכות ערעור לבית המשפט העליון בתוך </w:t>
      </w:r>
      <w:r>
        <w:rPr>
          <w:b/>
          <w:bCs/>
          <w:u w:val="single"/>
        </w:rPr>
        <w:t>45</w:t>
      </w:r>
      <w:r>
        <w:rPr>
          <w:b/>
          <w:bCs/>
          <w:u w:val="single"/>
          <w:rtl w:val="true"/>
        </w:rPr>
        <w:t xml:space="preserve"> </w:t>
      </w:r>
      <w:r>
        <w:rPr>
          <w:b/>
          <w:b/>
          <w:bCs/>
          <w:u w:val="single"/>
          <w:rtl w:val="true"/>
        </w:rPr>
        <w:t>יום מהיום</w:t>
      </w:r>
      <w:r>
        <w:rPr>
          <w:b/>
          <w:bCs/>
          <w:u w:val="single"/>
          <w:rtl w:val="true"/>
        </w:rPr>
        <w:t xml:space="preserve">. </w:t>
      </w:r>
    </w:p>
    <w:p>
      <w:pPr>
        <w:pStyle w:val="David"/>
        <w:ind w:hanging="720" w:start="720" w:end="0"/>
        <w:jc w:val="both"/>
        <w:rPr>
          <w:b/>
          <w:bCs/>
          <w:sz w:val="6"/>
          <w:szCs w:val="6"/>
        </w:rPr>
      </w:pPr>
      <w:r>
        <w:rPr>
          <w:b/>
          <w:bCs/>
          <w:sz w:val="6"/>
          <w:szCs w:val="6"/>
          <w:rtl w:val="true"/>
        </w:rPr>
        <w:t>&lt;</w:t>
      </w:r>
      <w:r>
        <w:rPr>
          <w:b/>
          <w:bCs/>
          <w:sz w:val="6"/>
          <w:szCs w:val="6"/>
        </w:rPr>
        <w:t>#4#</w:t>
      </w:r>
      <w:r>
        <w:rPr>
          <w:b/>
          <w:bCs/>
          <w:sz w:val="6"/>
          <w:szCs w:val="6"/>
          <w:rtl w:val="true"/>
        </w:rPr>
        <w:t>&gt;</w:t>
      </w:r>
    </w:p>
    <w:p>
      <w:pPr>
        <w:pStyle w:val="Normal"/>
        <w:ind w:end="0"/>
        <w:jc w:val="end"/>
        <w:rPr>
          <w:b/>
          <w:bCs/>
          <w:sz w:val="6"/>
          <w:szCs w:val="6"/>
        </w:rPr>
      </w:pPr>
      <w:r>
        <w:rPr>
          <w:b/>
          <w:bCs/>
          <w:sz w:val="6"/>
          <w:szCs w:val="6"/>
          <w:rtl w:val="true"/>
        </w:rPr>
      </w:r>
    </w:p>
    <w:p>
      <w:pPr>
        <w:pStyle w:val="Normal"/>
        <w:ind w:end="0"/>
        <w:jc w:val="center"/>
        <w:rPr>
          <w:b/>
          <w:bCs/>
          <w:color w:val="FFFFFF"/>
          <w:sz w:val="2"/>
          <w:szCs w:val="2"/>
        </w:rPr>
      </w:pPr>
      <w:r>
        <w:rPr>
          <w:b/>
          <w:bCs/>
          <w:color w:val="FFFFFF"/>
          <w:sz w:val="2"/>
          <w:szCs w:val="2"/>
          <w:rtl w:val="true"/>
        </w:rPr>
      </w:r>
    </w:p>
    <w:p>
      <w:pPr>
        <w:pStyle w:val="Normal"/>
        <w:ind w:end="0"/>
        <w:jc w:val="center"/>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אשר קולה </w:t>
      </w:r>
      <w:r>
        <w:rPr>
          <w:color w:val="000000"/>
          <w:sz w:val="22"/>
          <w:szCs w:val="22"/>
        </w:rPr>
        <w:t>54678313</w:t>
      </w:r>
    </w:p>
    <w:p>
      <w:pPr>
        <w:pStyle w:val="Normal"/>
        <w:ind w:end="0"/>
        <w:jc w:val="center"/>
        <w:rPr/>
      </w:pPr>
      <w:r>
        <w:rPr>
          <w:b/>
          <w:bCs/>
          <w:color w:val="FFFFFF"/>
          <w:sz w:val="2"/>
          <w:szCs w:val="2"/>
        </w:rPr>
        <w:t>54678313</w:t>
      </w:r>
      <w:r>
        <w:rPr>
          <w:b/>
          <w:b/>
          <w:bCs/>
          <w:rtl w:val="true"/>
        </w:rPr>
        <w:t>ניתנה והודעה היום י</w:t>
      </w:r>
      <w:r>
        <w:rPr>
          <w:b/>
          <w:bCs/>
          <w:rtl w:val="true"/>
        </w:rPr>
        <w:t>"</w:t>
      </w:r>
      <w:r>
        <w:rPr>
          <w:b/>
          <w:b/>
          <w:bCs/>
          <w:rtl w:val="true"/>
        </w:rPr>
        <w:t>ג שבט תשע</w:t>
      </w:r>
      <w:r>
        <w:rPr>
          <w:b/>
          <w:bCs/>
          <w:rtl w:val="true"/>
        </w:rPr>
        <w:t>"</w:t>
      </w:r>
      <w:r>
        <w:rPr>
          <w:b/>
          <w:b/>
          <w:bCs/>
          <w:rtl w:val="true"/>
        </w:rPr>
        <w:t>ב</w:t>
      </w:r>
      <w:r>
        <w:rPr>
          <w:b/>
          <w:bCs/>
          <w:rtl w:val="true"/>
        </w:rPr>
        <w:t xml:space="preserve">, </w:t>
      </w:r>
      <w:r>
        <w:rPr>
          <w:b/>
          <w:bCs/>
        </w:rPr>
        <w:t>06/02/2012</w:t>
      </w:r>
      <w:r>
        <w:rPr>
          <w:b/>
          <w:bCs/>
          <w:rtl w:val="true"/>
        </w:rPr>
        <w:t xml:space="preserve"> </w:t>
      </w:r>
      <w:r>
        <w:rPr>
          <w:b/>
          <w:b/>
          <w:bCs/>
          <w:rtl w:val="true"/>
        </w:rPr>
        <w:t>במעמד הנוכחים</w:t>
      </w:r>
      <w:r>
        <w:rPr>
          <w:b/>
          <w:bCs/>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pPr>
            <w:r>
              <w:rPr>
                <w:b/>
                <w:b/>
                <w:bCs/>
                <w:rtl w:val="true"/>
              </w:rPr>
              <w:t>אשר</w:t>
            </w:r>
            <w:r>
              <w:rPr>
                <w:b/>
                <w:b/>
                <w:bCs/>
                <w:rtl w:val="true"/>
              </w:rPr>
              <w:t xml:space="preserve"> </w:t>
            </w:r>
            <w:r>
              <w:rPr>
                <w:b/>
                <w:b/>
                <w:bCs/>
                <w:rtl w:val="true"/>
              </w:rPr>
              <w:t>קולה</w:t>
            </w:r>
            <w:r>
              <w:rPr>
                <w:b/>
                <w:bCs/>
                <w:rtl w:val="true"/>
              </w:rPr>
              <w:t xml:space="preserve">, </w:t>
            </w:r>
            <w:r>
              <w:rPr>
                <w:b/>
                <w:b/>
                <w:bCs/>
                <w:rtl w:val="true"/>
              </w:rPr>
              <w:t>שופט</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6">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7"/>
      <w:footerReference w:type="default" r:id="rId8"/>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39983-07-11</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איהאב זיוד</w:t>
    </w:r>
  </w:p>
</w:hdr>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basedOn w:val="DefaultParagraphFont"/>
    <w:qFormat/>
    <w:rPr>
      <w:rFonts w:ascii="Times New Roman" w:hAnsi="Times New Roman" w:cs="David"/>
      <w:b/>
      <w:bCs/>
      <w:sz w:val="26"/>
      <w:szCs w:val="26"/>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aw_html/law01/073_002.htm" TargetMode="External"/><Relationship Id="rId4" Type="http://schemas.openxmlformats.org/officeDocument/2006/relationships/hyperlink" Target="http://www.nevo.co.il/law_html/law01/073_002.htm" TargetMode="External"/><Relationship Id="rId5" Type="http://schemas.openxmlformats.org/officeDocument/2006/relationships/hyperlink" Target="http://www.nevo.co.il/law_html/law01/073_002.htm" TargetMode="External"/><Relationship Id="rId6" Type="http://schemas.openxmlformats.org/officeDocument/2006/relationships/hyperlink" Target="http://www.nevo.co.il/advertisements/nevo-100.doc"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2012-02-12T12:09:00Z</dcterms:created>
  <dc:creator> </dc:creator>
  <dc:description/>
  <cp:keywords/>
  <dc:language>en-IL</dc:language>
  <cp:lastModifiedBy>hofit</cp:lastModifiedBy>
  <dcterms:modified xsi:type="dcterms:W3CDTF">2012-02-12T12:09:00Z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איהאב זיוד</vt:lpwstr>
  </property>
  <property fmtid="{D5CDD505-2E9C-101B-9397-08002B2CF9AE}" pid="4" name="CITY">
    <vt:lpwstr>נצ'</vt:lpwstr>
  </property>
  <property fmtid="{D5CDD505-2E9C-101B-9397-08002B2CF9AE}" pid="5" name="DATE">
    <vt:lpwstr>20120206</vt:lpwstr>
  </property>
  <property fmtid="{D5CDD505-2E9C-101B-9397-08002B2CF9AE}" pid="6" name="JUDGE">
    <vt:lpwstr>אשר קולה</vt:lpwstr>
  </property>
  <property fmtid="{D5CDD505-2E9C-101B-9397-08002B2CF9AE}" pid="7" name="LAWYER">
    <vt:lpwstr>הובא ו;הובא ו ראפי מסאלחה;הדס ירושלמי</vt:lpwstr>
  </property>
  <property fmtid="{D5CDD505-2E9C-101B-9397-08002B2CF9AE}" pid="8" name="NEWPARTA">
    <vt:lpwstr>39983</vt:lpwstr>
  </property>
  <property fmtid="{D5CDD505-2E9C-101B-9397-08002B2CF9AE}" pid="9" name="NEWPARTB">
    <vt:lpwstr>07</vt:lpwstr>
  </property>
  <property fmtid="{D5CDD505-2E9C-101B-9397-08002B2CF9AE}" pid="10" name="NEWPARTC">
    <vt:lpwstr>11</vt:lpwstr>
  </property>
  <property fmtid="{D5CDD505-2E9C-101B-9397-08002B2CF9AE}" pid="11" name="NEWPROC">
    <vt:lpwstr>תפ</vt:lpwstr>
  </property>
  <property fmtid="{D5CDD505-2E9C-101B-9397-08002B2CF9AE}" pid="12" name="PSAKDIN">
    <vt:lpwstr>גזר-דין</vt:lpwstr>
  </property>
  <property fmtid="{D5CDD505-2E9C-101B-9397-08002B2CF9AE}" pid="13" name="TYPE">
    <vt:lpwstr>2</vt:lpwstr>
  </property>
  <property fmtid="{D5CDD505-2E9C-101B-9397-08002B2CF9AE}" pid="14" name="TYPE_ABS_DATE">
    <vt:lpwstr>390020120206</vt:lpwstr>
  </property>
  <property fmtid="{D5CDD505-2E9C-101B-9397-08002B2CF9AE}" pid="15" name="TYPE_N_DATE">
    <vt:lpwstr>39020120206</vt:lpwstr>
  </property>
  <property fmtid="{D5CDD505-2E9C-101B-9397-08002B2CF9AE}" pid="16" name="WORDNUMPAGES">
    <vt:lpwstr>3</vt:lpwstr>
  </property>
</Properties>
</file>